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54B1" w14:textId="35916C1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49D1243" w:rsidR="00E66558" w:rsidRDefault="00986B00">
            <w:pPr>
              <w:pStyle w:val="TableRow"/>
            </w:pPr>
            <w:r>
              <w:t>Civitas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99FD7A6" w:rsidR="00E66558" w:rsidRDefault="008D4013">
            <w:pPr>
              <w:pStyle w:val="TableRow"/>
            </w:pPr>
            <w:r>
              <w:t>3</w:t>
            </w:r>
            <w:r w:rsidR="00AD56EB">
              <w:t>59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FED6B26" w:rsidR="00E66558" w:rsidRDefault="00AD56EB">
            <w:pPr>
              <w:pStyle w:val="TableRow"/>
            </w:pPr>
            <w:r>
              <w:t>10%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0FA6762" w:rsidR="00E66558" w:rsidRDefault="00675123">
            <w:pPr>
              <w:pStyle w:val="TableRow"/>
            </w:pPr>
            <w:r>
              <w:t xml:space="preserve">2021/22 to </w:t>
            </w:r>
            <w:r w:rsidR="00197F25">
              <w:t>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A981DD7" w:rsidR="00E66558" w:rsidRDefault="00256B7F">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87DFC40" w:rsidR="00E66558" w:rsidRDefault="00CD4DFF">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53DE29C" w:rsidR="00E66558" w:rsidRDefault="00CD4DFF">
            <w:pPr>
              <w:pStyle w:val="TableRow"/>
            </w:pPr>
            <w:r>
              <w:t>Salima Ducker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30EFE38" w:rsidR="00E66558" w:rsidRDefault="00141296">
            <w:pPr>
              <w:pStyle w:val="TableRow"/>
            </w:pPr>
            <w:r>
              <w:t>A</w:t>
            </w:r>
            <w:r w:rsidR="003F0824">
              <w:t xml:space="preserve">aron </w:t>
            </w:r>
            <w:r>
              <w:t>Bond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6B593F9" w:rsidR="00E66558" w:rsidRDefault="00F520C6">
            <w:pPr>
              <w:pStyle w:val="TableRow"/>
            </w:pPr>
            <w:r>
              <w:t>Rob</w:t>
            </w:r>
            <w:r w:rsidR="009B1BB1">
              <w:t>yn</w:t>
            </w:r>
            <w:r>
              <w:t xml:space="preserve"> Cat</w:t>
            </w:r>
            <w:r w:rsidR="009B1BB1">
              <w:t>t</w:t>
            </w:r>
            <w:r>
              <w:t>ermole</w:t>
            </w:r>
            <w:r w:rsidR="009B1BB1">
              <w:t>/Tina Donne</w:t>
            </w:r>
            <w:r>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442C2B1" w:rsidR="00E66558" w:rsidRDefault="009D71E8">
            <w:pPr>
              <w:pStyle w:val="TableRow"/>
            </w:pPr>
            <w:r>
              <w:t>£</w:t>
            </w:r>
            <w:r w:rsidR="00AB2696">
              <w:t>54,136</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293D289" w:rsidR="00E66558" w:rsidRDefault="009D71E8">
            <w:pPr>
              <w:pStyle w:val="TableRow"/>
            </w:pPr>
            <w:r>
              <w:t>£</w:t>
            </w:r>
            <w:r w:rsidR="00141296">
              <w:t>1</w:t>
            </w:r>
            <w:r w:rsidR="00AB2696">
              <w:t>0,</w:t>
            </w:r>
            <w:r w:rsidR="007B2B8D">
              <w:t>223.20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81CD098" w:rsidR="00E66558" w:rsidRDefault="009D71E8">
            <w:pPr>
              <w:pStyle w:val="TableRow"/>
            </w:pPr>
            <w:r>
              <w:t>£</w:t>
            </w:r>
            <w:r w:rsidR="00F9255F">
              <w:t>11,000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793F685" w:rsidR="00E66558" w:rsidRDefault="009D71E8">
            <w:pPr>
              <w:pStyle w:val="TableRow"/>
            </w:pPr>
            <w:r>
              <w:t>£</w:t>
            </w:r>
            <w:r w:rsidR="00F9255F">
              <w:t>7</w:t>
            </w:r>
            <w:r w:rsidR="00647211">
              <w:t>5</w:t>
            </w:r>
            <w:r w:rsidR="00574663">
              <w:t>,3</w:t>
            </w:r>
            <w:r w:rsidR="00D56AAF">
              <w:t>59.20</w:t>
            </w:r>
          </w:p>
        </w:tc>
      </w:tr>
    </w:tbl>
    <w:p w14:paraId="2A7D54E4" w14:textId="77777777" w:rsidR="00E66558" w:rsidRDefault="009D71E8">
      <w:pPr>
        <w:pStyle w:val="Heading1"/>
      </w:pPr>
      <w:r>
        <w:lastRenderedPageBreak/>
        <w:t>Part A: Pupil premium strategy plan</w:t>
      </w:r>
    </w:p>
    <w:p w14:paraId="2A7D54E5" w14:textId="0FB124DA" w:rsidR="00E66558" w:rsidRDefault="009D71E8">
      <w:pPr>
        <w:pStyle w:val="Heading2"/>
      </w:pPr>
      <w:bookmarkStart w:id="14" w:name="_Toc357771640"/>
      <w:bookmarkStart w:id="15" w:name="_Toc346793418"/>
      <w:r>
        <w:t>Statement of intent</w:t>
      </w:r>
    </w:p>
    <w:p w14:paraId="023B3EC7" w14:textId="6319455A" w:rsidR="002C685B" w:rsidRDefault="002C685B" w:rsidP="002C685B">
      <w:pPr>
        <w:rPr>
          <w:rFonts w:cs="Arial"/>
          <w:color w:val="auto"/>
        </w:rPr>
      </w:pPr>
      <w:r>
        <w:rPr>
          <w:rFonts w:cs="Arial"/>
        </w:rPr>
        <w:t xml:space="preserve">At Civitas Academy we recognise that barriers for our disadvantaged children face can be varied. Therefore, we balance the spend between academic and pastoral approaches. We target </w:t>
      </w:r>
      <w:proofErr w:type="gramStart"/>
      <w:r>
        <w:rPr>
          <w:rFonts w:cs="Arial"/>
        </w:rPr>
        <w:t>all of</w:t>
      </w:r>
      <w:proofErr w:type="gramEnd"/>
      <w:r>
        <w:rPr>
          <w:rFonts w:cs="Arial"/>
        </w:rPr>
        <w:t xml:space="preserve"> our disadvantaged pupils to ensure that they reach the highest possible outcomes by the end of each academic year. When considering approaches to use we make use of resources such as Inside Out (A charity aimed at wellbeing) </w:t>
      </w:r>
      <w:r w:rsidR="008629C4">
        <w:rPr>
          <w:rFonts w:cs="Arial"/>
        </w:rPr>
        <w:t>and</w:t>
      </w:r>
      <w:r w:rsidR="00062161">
        <w:rPr>
          <w:rFonts w:cs="Arial"/>
        </w:rPr>
        <w:t xml:space="preserve"> </w:t>
      </w:r>
      <w:proofErr w:type="spellStart"/>
      <w:r w:rsidR="00062161">
        <w:rPr>
          <w:rFonts w:cs="Arial"/>
        </w:rPr>
        <w:t>Pixl</w:t>
      </w:r>
      <w:proofErr w:type="spellEnd"/>
      <w:r w:rsidR="00062161">
        <w:rPr>
          <w:rFonts w:cs="Arial"/>
        </w:rPr>
        <w:t xml:space="preserve">. </w:t>
      </w:r>
      <w:r>
        <w:rPr>
          <w:rFonts w:cs="Arial"/>
        </w:rPr>
        <w:t xml:space="preserve">We make ongoing reviews throughout the year in our pupil progress meetings and report annually on the impact of our PPG spend each academic year. As part of our process, we perform regular learning walks and observations that focus on our disadvantaged pupils identifying specific learning barriers that need addressing. This is reflected in our strategy choices. </w:t>
      </w:r>
    </w:p>
    <w:p w14:paraId="35E403C1" w14:textId="4F672B06" w:rsidR="002C685B" w:rsidRDefault="002C685B" w:rsidP="002C685B">
      <w:pPr>
        <w:rPr>
          <w:rFonts w:cs="Arial"/>
        </w:rPr>
      </w:pPr>
      <w:r>
        <w:rPr>
          <w:rFonts w:cs="Arial"/>
        </w:rPr>
        <w:t xml:space="preserve">When planning this strategy, we have made use of our previous strategies and the impact that they have had. As </w:t>
      </w:r>
      <w:r w:rsidR="00141296">
        <w:rPr>
          <w:rFonts w:cs="Arial"/>
        </w:rPr>
        <w:t>we evaluate and</w:t>
      </w:r>
      <w:r>
        <w:rPr>
          <w:rFonts w:cs="Arial"/>
        </w:rPr>
        <w:t xml:space="preserve"> review our practice regularly</w:t>
      </w:r>
      <w:r w:rsidR="00141296">
        <w:rPr>
          <w:rFonts w:cs="Arial"/>
        </w:rPr>
        <w:t>, we</w:t>
      </w:r>
      <w:r>
        <w:rPr>
          <w:rFonts w:cs="Arial"/>
        </w:rPr>
        <w:t xml:space="preserve"> plan to do more of what is having impact</w:t>
      </w:r>
      <w:r w:rsidR="00141296">
        <w:rPr>
          <w:rFonts w:cs="Arial"/>
        </w:rPr>
        <w:t xml:space="preserve"> as we move forward</w:t>
      </w:r>
      <w:r>
        <w:rPr>
          <w:rFonts w:cs="Arial"/>
        </w:rPr>
        <w:t xml:space="preserve">. However, we also recognise that every child is an individual and there are occasions where we </w:t>
      </w:r>
      <w:proofErr w:type="gramStart"/>
      <w:r>
        <w:rPr>
          <w:rFonts w:cs="Arial"/>
        </w:rPr>
        <w:t>have to</w:t>
      </w:r>
      <w:proofErr w:type="gramEnd"/>
      <w:r>
        <w:rPr>
          <w:rFonts w:cs="Arial"/>
        </w:rPr>
        <w:t xml:space="preserve"> take a more individualised approach to raise the attainment of our disadvantaged pupils.</w:t>
      </w:r>
    </w:p>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91EA" w14:textId="6D8C79EA" w:rsidR="003A4A67" w:rsidRDefault="00E00FC8" w:rsidP="00C35A5A">
            <w:pPr>
              <w:pStyle w:val="TableRowCentered"/>
              <w:ind w:left="0"/>
              <w:jc w:val="left"/>
            </w:pPr>
            <w:r>
              <w:t xml:space="preserve">Our attendance </w:t>
            </w:r>
            <w:r w:rsidR="00EB519B">
              <w:t>last year</w:t>
            </w:r>
            <w:r w:rsidR="00FC5FCB">
              <w:t xml:space="preserve"> indicates attendance among disadvantage pupils has been </w:t>
            </w:r>
            <w:r w:rsidR="00D93753">
              <w:t>4</w:t>
            </w:r>
            <w:r w:rsidR="00587592">
              <w:t>%</w:t>
            </w:r>
            <w:r w:rsidR="00D93753">
              <w:t xml:space="preserve"> lower than the national average. 2</w:t>
            </w:r>
            <w:r w:rsidR="00587592">
              <w:t xml:space="preserve">% lower than </w:t>
            </w:r>
            <w:r w:rsidR="003A4A67">
              <w:t>for non-disadvantaged pupils.</w:t>
            </w:r>
          </w:p>
          <w:p w14:paraId="4E93FA97" w14:textId="77777777" w:rsidR="005F340C" w:rsidRDefault="005F340C" w:rsidP="00C35A5A">
            <w:pPr>
              <w:pStyle w:val="TableRowCentered"/>
              <w:ind w:left="0"/>
              <w:jc w:val="left"/>
            </w:pPr>
          </w:p>
          <w:p w14:paraId="175FA155" w14:textId="51A30CF4" w:rsidR="005F340C" w:rsidRDefault="00DE13DA" w:rsidP="00C35A5A">
            <w:pPr>
              <w:pStyle w:val="TableRowCentered"/>
              <w:ind w:left="0"/>
              <w:jc w:val="left"/>
            </w:pPr>
            <w:r>
              <w:t>29.5</w:t>
            </w:r>
            <w:r w:rsidR="007C016D">
              <w:t xml:space="preserve">% of disadvantaged pupils have been </w:t>
            </w:r>
            <w:r w:rsidR="005F340C">
              <w:t>persistently</w:t>
            </w:r>
            <w:r w:rsidR="007C016D">
              <w:t xml:space="preserve"> absent </w:t>
            </w:r>
            <w:r w:rsidR="005405B6">
              <w:t xml:space="preserve">compared to their peers. Our assessments and observations indicate that </w:t>
            </w:r>
            <w:r w:rsidR="005F340C">
              <w:t>absenteeism</w:t>
            </w:r>
            <w:r w:rsidR="00E56BAC">
              <w:t xml:space="preserve"> is negatively impacting disadvantaged pupils</w:t>
            </w:r>
            <w:r w:rsidR="005F340C">
              <w:t xml:space="preserve">’ progress. </w:t>
            </w:r>
          </w:p>
          <w:p w14:paraId="2A7D54F1" w14:textId="3749B6C4" w:rsidR="00E66558" w:rsidRDefault="005F340C" w:rsidP="00C35A5A">
            <w:pPr>
              <w:pStyle w:val="TableRowCentered"/>
              <w:ind w:left="0"/>
              <w:jc w:val="left"/>
            </w:pPr>
            <w:r>
              <w:t>We therefore aim to i</w:t>
            </w:r>
            <w:r w:rsidR="00C35A5A">
              <w:t>mprove attendance to exceed national average (97%)</w:t>
            </w:r>
            <w:r w:rsidR="00DE13DA">
              <w:t xml:space="preserve"> with </w:t>
            </w:r>
            <w:r w:rsidR="00D91FA5">
              <w:t xml:space="preserve">a persistent absence </w:t>
            </w:r>
            <w:r w:rsidR="008053E3">
              <w:t>of 17%</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3B3E0DA" w:rsidR="00E66558" w:rsidRPr="00A478B3" w:rsidRDefault="00821646" w:rsidP="00A478B3">
            <w:pPr>
              <w:pStyle w:val="TableRowCentered"/>
              <w:jc w:val="left"/>
              <w:rPr>
                <w:rFonts w:cs="Arial"/>
                <w:iCs/>
                <w:color w:val="auto"/>
                <w:lang w:val="en-US"/>
              </w:rPr>
            </w:pPr>
            <w:r w:rsidRPr="00E27862">
              <w:rPr>
                <w:rFonts w:cs="Arial"/>
                <w:iCs/>
                <w:color w:val="auto"/>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04DC" w14:textId="39170A34" w:rsidR="000C1465" w:rsidRDefault="000C1465">
            <w:pPr>
              <w:pStyle w:val="TableRowCentered"/>
              <w:jc w:val="left"/>
              <w:rPr>
                <w:sz w:val="22"/>
                <w:szCs w:val="22"/>
              </w:rPr>
            </w:pPr>
            <w:r w:rsidRPr="00E27862">
              <w:rPr>
                <w:rFonts w:cs="Arial"/>
                <w:iCs/>
                <w:color w:val="auto"/>
                <w:lang w:val="en-US"/>
              </w:rPr>
              <w:t xml:space="preserve">Assessments, observations, and discussions with pupils indicate underdeveloped oral language skills and vocabulary gaps among many </w:t>
            </w:r>
            <w:r w:rsidRPr="00E27862">
              <w:rPr>
                <w:rFonts w:cs="Arial"/>
                <w:iCs/>
                <w:color w:val="auto"/>
                <w:lang w:val="en-US"/>
              </w:rPr>
              <w:lastRenderedPageBreak/>
              <w:t>disadvantaged pupils. These are evident from Reception through to KS2 and in general, are more prevalent among our disadvantaged pupils than their peers.</w:t>
            </w:r>
          </w:p>
          <w:p w14:paraId="1DA409C2" w14:textId="77777777" w:rsidR="000C1465" w:rsidRDefault="000C1465">
            <w:pPr>
              <w:pStyle w:val="TableRowCentered"/>
              <w:jc w:val="left"/>
              <w:rPr>
                <w:sz w:val="22"/>
                <w:szCs w:val="22"/>
              </w:rPr>
            </w:pPr>
          </w:p>
          <w:p w14:paraId="2A7D54F7" w14:textId="6FC6186D" w:rsidR="00E66558" w:rsidRDefault="00C35A5A">
            <w:pPr>
              <w:pStyle w:val="TableRowCentered"/>
              <w:jc w:val="left"/>
              <w:rPr>
                <w:sz w:val="22"/>
                <w:szCs w:val="22"/>
              </w:rPr>
            </w:pPr>
            <w:r w:rsidRPr="00E43DDA">
              <w:rPr>
                <w:szCs w:val="24"/>
              </w:rPr>
              <w:t>Close the attainment gap in Literacy between disadvantage pupils and their peers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D5A07" w14:textId="7E3D2FCC" w:rsidR="0013138D" w:rsidRPr="004F64CD" w:rsidRDefault="0013138D" w:rsidP="004F64CD">
            <w:pPr>
              <w:suppressAutoHyphens w:val="0"/>
              <w:autoSpaceDN/>
              <w:spacing w:before="60" w:after="120" w:line="240" w:lineRule="auto"/>
              <w:ind w:left="57" w:right="57"/>
              <w:rPr>
                <w:iCs/>
                <w:color w:val="auto"/>
                <w:lang w:val="en-US"/>
              </w:rPr>
            </w:pPr>
            <w:r w:rsidRPr="00E27862">
              <w:rPr>
                <w:rFonts w:cs="Arial"/>
                <w:iCs/>
                <w:color w:val="auto"/>
                <w:lang w:val="en-US"/>
              </w:rPr>
              <w:t>Internal and external (where available) assessments indicate</w:t>
            </w:r>
            <w:r w:rsidRPr="00E27862">
              <w:rPr>
                <w:iCs/>
                <w:color w:val="auto"/>
                <w:lang w:val="en-US"/>
              </w:rPr>
              <w:t xml:space="preserve"> that </w:t>
            </w:r>
            <w:proofErr w:type="spellStart"/>
            <w:proofErr w:type="gramStart"/>
            <w:r w:rsidR="00DE27C4">
              <w:rPr>
                <w:iCs/>
                <w:color w:val="auto"/>
                <w:lang w:val="en-US"/>
              </w:rPr>
              <w:t>M</w:t>
            </w:r>
            <w:r w:rsidRPr="00E27862">
              <w:rPr>
                <w:iCs/>
                <w:color w:val="auto"/>
                <w:lang w:val="en-US"/>
              </w:rPr>
              <w:t>aths</w:t>
            </w:r>
            <w:proofErr w:type="spellEnd"/>
            <w:proofErr w:type="gramEnd"/>
            <w:r w:rsidRPr="00E27862">
              <w:rPr>
                <w:iCs/>
                <w:color w:val="auto"/>
                <w:lang w:val="en-US"/>
              </w:rPr>
              <w:t xml:space="preserve"> attainment among disadvantaged pupils is significantly below that of non-disadvantaged pupils. </w:t>
            </w:r>
          </w:p>
          <w:p w14:paraId="77A0B3FC" w14:textId="77777777" w:rsidR="0013138D" w:rsidRDefault="0013138D">
            <w:pPr>
              <w:pStyle w:val="TableRowCentered"/>
              <w:jc w:val="left"/>
              <w:rPr>
                <w:sz w:val="22"/>
                <w:szCs w:val="22"/>
              </w:rPr>
            </w:pPr>
          </w:p>
          <w:p w14:paraId="2A7D54FA" w14:textId="613B8AED" w:rsidR="00E66558" w:rsidRDefault="004F64CD">
            <w:pPr>
              <w:pStyle w:val="TableRowCentered"/>
              <w:jc w:val="left"/>
              <w:rPr>
                <w:iCs/>
                <w:sz w:val="22"/>
              </w:rPr>
            </w:pPr>
            <w:r>
              <w:rPr>
                <w:szCs w:val="24"/>
              </w:rPr>
              <w:t>Therefore</w:t>
            </w:r>
            <w:r w:rsidR="003F0824">
              <w:rPr>
                <w:szCs w:val="24"/>
              </w:rPr>
              <w:t>,</w:t>
            </w:r>
            <w:r>
              <w:rPr>
                <w:szCs w:val="24"/>
              </w:rPr>
              <w:t xml:space="preserve"> we aim to c</w:t>
            </w:r>
            <w:r w:rsidR="00C35A5A" w:rsidRPr="00E43DDA">
              <w:rPr>
                <w:szCs w:val="24"/>
              </w:rPr>
              <w:t>lose the attainment gap in Maths between disadvantage pupils and their peers</w:t>
            </w:r>
            <w:r>
              <w:rPr>
                <w:szCs w:val="24"/>
              </w:rPr>
              <w:t xml:space="preserv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C041" w14:textId="77777777" w:rsidR="00D95D1F" w:rsidRPr="00E27862" w:rsidRDefault="00D95D1F" w:rsidP="00D95D1F">
            <w:pPr>
              <w:suppressAutoHyphens w:val="0"/>
              <w:autoSpaceDN/>
              <w:spacing w:before="60" w:line="240" w:lineRule="auto"/>
              <w:ind w:left="57" w:right="57"/>
              <w:rPr>
                <w:rFonts w:cs="Arial"/>
                <w:iCs/>
                <w:color w:val="auto"/>
                <w:lang w:val="en-US"/>
              </w:rPr>
            </w:pPr>
            <w:r w:rsidRPr="00E27862">
              <w:rPr>
                <w:rFonts w:cs="Arial"/>
                <w:iCs/>
                <w:color w:val="auto"/>
                <w:lang w:val="en-US"/>
              </w:rPr>
              <w:t>Our assessments (including wellbeing survey), observations and discussions with pupils and families have identified social and emotional issues for many pupils, notably due to bullying, and a lack of enrichment opportunities during school closure. These challenges particularly affect disadvantaged pupils, including their attainment.</w:t>
            </w:r>
          </w:p>
          <w:p w14:paraId="1DA351F4" w14:textId="77777777" w:rsidR="00D95D1F" w:rsidRDefault="00D95D1F">
            <w:pPr>
              <w:pStyle w:val="TableRowCentered"/>
              <w:jc w:val="left"/>
              <w:rPr>
                <w:sz w:val="22"/>
                <w:szCs w:val="22"/>
              </w:rPr>
            </w:pPr>
          </w:p>
          <w:p w14:paraId="2A7D54FD" w14:textId="444D851B" w:rsidR="00E66558" w:rsidRDefault="004F64CD">
            <w:pPr>
              <w:pStyle w:val="TableRowCentered"/>
              <w:jc w:val="left"/>
              <w:rPr>
                <w:iCs/>
                <w:sz w:val="22"/>
              </w:rPr>
            </w:pPr>
            <w:r>
              <w:rPr>
                <w:szCs w:val="24"/>
              </w:rPr>
              <w:t>Therefore</w:t>
            </w:r>
            <w:r w:rsidR="003F0824">
              <w:rPr>
                <w:szCs w:val="24"/>
              </w:rPr>
              <w:t>,</w:t>
            </w:r>
            <w:r>
              <w:rPr>
                <w:szCs w:val="24"/>
              </w:rPr>
              <w:t xml:space="preserve"> we aim to i</w:t>
            </w:r>
            <w:r w:rsidR="00C35A5A" w:rsidRPr="00E43DDA">
              <w:rPr>
                <w:szCs w:val="24"/>
              </w:rPr>
              <w:t>mprove the wellbeing of disadvantaged pupils</w:t>
            </w:r>
          </w:p>
        </w:tc>
      </w:tr>
    </w:tbl>
    <w:p w14:paraId="6D276167" w14:textId="2826C751" w:rsidR="00CF1A3C" w:rsidRDefault="00CF1A3C">
      <w:pPr>
        <w:pStyle w:val="Heading2"/>
        <w:spacing w:before="600"/>
      </w:pPr>
    </w:p>
    <w:p w14:paraId="72B946B0" w14:textId="6D22ABB3" w:rsidR="00D44942" w:rsidRDefault="00D44942" w:rsidP="00D44942"/>
    <w:p w14:paraId="6621E291" w14:textId="77777777" w:rsidR="00D44942" w:rsidRPr="00D44942" w:rsidRDefault="00D44942" w:rsidP="00D44942"/>
    <w:p w14:paraId="2A7D54FF" w14:textId="0368F90F"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C0CFF3F" w:rsidR="00E66558" w:rsidRPr="00F826FB" w:rsidRDefault="00886758">
            <w:pPr>
              <w:pStyle w:val="TableRow"/>
            </w:pPr>
            <w:r w:rsidRPr="00F826FB">
              <w:rPr>
                <w:sz w:val="22"/>
                <w:szCs w:val="22"/>
              </w:rPr>
              <w:t>Children’s</w:t>
            </w:r>
            <w:r w:rsidR="00C35A5A" w:rsidRPr="00F826FB">
              <w:rPr>
                <w:sz w:val="22"/>
                <w:szCs w:val="22"/>
              </w:rPr>
              <w:t xml:space="preserve"> attendance will be at least in line with national average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FD2A" w14:textId="6A840DB2" w:rsidR="00E66558" w:rsidRDefault="00141296" w:rsidP="00141296">
            <w:pPr>
              <w:pStyle w:val="TableRowCentered"/>
              <w:numPr>
                <w:ilvl w:val="0"/>
                <w:numId w:val="14"/>
              </w:numPr>
              <w:jc w:val="left"/>
              <w:rPr>
                <w:sz w:val="22"/>
                <w:szCs w:val="22"/>
              </w:rPr>
            </w:pPr>
            <w:r>
              <w:rPr>
                <w:sz w:val="22"/>
                <w:szCs w:val="22"/>
              </w:rPr>
              <w:t>Disadvantaged children’s attendance will be in line with the national average</w:t>
            </w:r>
          </w:p>
          <w:p w14:paraId="30316279" w14:textId="2843AFE2" w:rsidR="00141296" w:rsidRDefault="00141296" w:rsidP="00141296">
            <w:pPr>
              <w:pStyle w:val="TableRowCentered"/>
              <w:numPr>
                <w:ilvl w:val="0"/>
                <w:numId w:val="14"/>
              </w:numPr>
              <w:jc w:val="left"/>
              <w:rPr>
                <w:sz w:val="22"/>
                <w:szCs w:val="22"/>
              </w:rPr>
            </w:pPr>
            <w:r>
              <w:rPr>
                <w:sz w:val="22"/>
                <w:szCs w:val="22"/>
              </w:rPr>
              <w:t xml:space="preserve">Along the way, milestones set out in the attendance tracker will be met </w:t>
            </w:r>
          </w:p>
          <w:p w14:paraId="2A7D5505" w14:textId="04FFC56F" w:rsidR="00141296" w:rsidRDefault="00141296" w:rsidP="00141296">
            <w:pPr>
              <w:pStyle w:val="TableRowCentered"/>
              <w:numPr>
                <w:ilvl w:val="0"/>
                <w:numId w:val="14"/>
              </w:numPr>
              <w:jc w:val="left"/>
              <w:rPr>
                <w:sz w:val="22"/>
                <w:szCs w:val="22"/>
              </w:rPr>
            </w:pPr>
            <w:r>
              <w:rPr>
                <w:sz w:val="22"/>
                <w:szCs w:val="22"/>
              </w:rPr>
              <w:t>Attendance will be continually monitored and reviewed at both school and trust level</w:t>
            </w:r>
          </w:p>
        </w:tc>
      </w:tr>
      <w:tr w:rsidR="006A2DDB" w14:paraId="072DDCA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EE640" w14:textId="6C814CBE" w:rsidR="006A2DDB" w:rsidRPr="00F826FB" w:rsidRDefault="00D960AD">
            <w:pPr>
              <w:pStyle w:val="TableRow"/>
              <w:rPr>
                <w:sz w:val="22"/>
                <w:szCs w:val="22"/>
              </w:rPr>
            </w:pPr>
            <w:r w:rsidRPr="00F826FB">
              <w:rPr>
                <w:sz w:val="22"/>
                <w:szCs w:val="22"/>
              </w:rPr>
              <w:t>Improved oral language</w:t>
            </w:r>
            <w:r w:rsidR="00DF3565" w:rsidRPr="00F826FB">
              <w:rPr>
                <w:sz w:val="22"/>
                <w:szCs w:val="22"/>
              </w:rPr>
              <w:t xml:space="preserve"> </w:t>
            </w:r>
            <w:r w:rsidR="00F826FB" w:rsidRPr="00F826FB">
              <w:rPr>
                <w:sz w:val="22"/>
                <w:szCs w:val="22"/>
              </w:rPr>
              <w:t>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CEDB5" w14:textId="77777777" w:rsidR="006A2DDB" w:rsidRDefault="00F256F8" w:rsidP="00141296">
            <w:pPr>
              <w:pStyle w:val="TableRowCentered"/>
              <w:numPr>
                <w:ilvl w:val="0"/>
                <w:numId w:val="14"/>
              </w:numPr>
              <w:jc w:val="left"/>
              <w:rPr>
                <w:sz w:val="22"/>
                <w:szCs w:val="22"/>
              </w:rPr>
            </w:pPr>
            <w:r>
              <w:rPr>
                <w:sz w:val="22"/>
                <w:szCs w:val="22"/>
              </w:rPr>
              <w:t xml:space="preserve">Assessment and observations will indicate </w:t>
            </w:r>
            <w:r w:rsidR="004E5867">
              <w:rPr>
                <w:sz w:val="22"/>
                <w:szCs w:val="22"/>
              </w:rPr>
              <w:t>significantly improved oral and language among disadvantaged pupils</w:t>
            </w:r>
          </w:p>
          <w:p w14:paraId="7C73F293" w14:textId="0A04FE1D" w:rsidR="00AF22A4" w:rsidRPr="002A5940" w:rsidRDefault="00087789" w:rsidP="002A5940">
            <w:pPr>
              <w:pStyle w:val="TableRowCentered"/>
              <w:numPr>
                <w:ilvl w:val="0"/>
                <w:numId w:val="14"/>
              </w:numPr>
              <w:jc w:val="left"/>
              <w:rPr>
                <w:sz w:val="22"/>
                <w:szCs w:val="22"/>
              </w:rPr>
            </w:pPr>
            <w:r>
              <w:rPr>
                <w:sz w:val="22"/>
                <w:szCs w:val="22"/>
              </w:rPr>
              <w:lastRenderedPageBreak/>
              <w:t xml:space="preserve">Use of Voice 21 oracy </w:t>
            </w:r>
            <w:proofErr w:type="gramStart"/>
            <w:r>
              <w:rPr>
                <w:sz w:val="22"/>
                <w:szCs w:val="22"/>
              </w:rPr>
              <w:t>programme  -</w:t>
            </w:r>
            <w:proofErr w:type="gramEnd"/>
            <w:r>
              <w:rPr>
                <w:sz w:val="22"/>
                <w:szCs w:val="22"/>
              </w:rPr>
              <w:t xml:space="preserve"> pupil voice </w:t>
            </w:r>
            <w:r w:rsidR="00364D46">
              <w:rPr>
                <w:sz w:val="22"/>
                <w:szCs w:val="22"/>
              </w:rPr>
              <w:t>indicates positive impact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4993FB3" w:rsidR="00E66558" w:rsidRDefault="00C35A5A">
            <w:pPr>
              <w:pStyle w:val="TableRow"/>
              <w:rPr>
                <w:sz w:val="22"/>
                <w:szCs w:val="22"/>
              </w:rPr>
            </w:pPr>
            <w:r>
              <w:rPr>
                <w:sz w:val="22"/>
                <w:szCs w:val="22"/>
              </w:rPr>
              <w:lastRenderedPageBreak/>
              <w:t xml:space="preserve">Academic difference will be diminished between </w:t>
            </w:r>
            <w:r w:rsidR="000A6B29">
              <w:rPr>
                <w:sz w:val="22"/>
                <w:szCs w:val="22"/>
              </w:rPr>
              <w:t>disadvantaged and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B684" w14:textId="77777777" w:rsidR="00E66558" w:rsidRDefault="00141296" w:rsidP="00141296">
            <w:pPr>
              <w:pStyle w:val="TableRowCentered"/>
              <w:numPr>
                <w:ilvl w:val="0"/>
                <w:numId w:val="15"/>
              </w:numPr>
              <w:jc w:val="left"/>
              <w:rPr>
                <w:sz w:val="22"/>
                <w:szCs w:val="22"/>
              </w:rPr>
            </w:pPr>
            <w:r>
              <w:rPr>
                <w:sz w:val="22"/>
                <w:szCs w:val="22"/>
              </w:rPr>
              <w:t>Children will make at least expected, if not accelerated progress from their individual starting points</w:t>
            </w:r>
          </w:p>
          <w:p w14:paraId="55BA78EC" w14:textId="7DCB34C8" w:rsidR="00141296" w:rsidRDefault="00141296" w:rsidP="00141296">
            <w:pPr>
              <w:pStyle w:val="TableRowCentered"/>
              <w:numPr>
                <w:ilvl w:val="0"/>
                <w:numId w:val="15"/>
              </w:numPr>
              <w:jc w:val="left"/>
              <w:rPr>
                <w:sz w:val="22"/>
                <w:szCs w:val="22"/>
              </w:rPr>
            </w:pPr>
            <w:r>
              <w:rPr>
                <w:sz w:val="22"/>
                <w:szCs w:val="22"/>
              </w:rPr>
              <w:t xml:space="preserve">At KS1 and KS2 SATs, the difference between disadvantaged and other children will be diminished year on year </w:t>
            </w:r>
          </w:p>
          <w:p w14:paraId="77B4E998" w14:textId="619F3105" w:rsidR="006B0C17" w:rsidRDefault="008701F3" w:rsidP="00141296">
            <w:pPr>
              <w:pStyle w:val="TableRowCentered"/>
              <w:numPr>
                <w:ilvl w:val="0"/>
                <w:numId w:val="15"/>
              </w:numPr>
              <w:jc w:val="left"/>
              <w:rPr>
                <w:sz w:val="22"/>
                <w:szCs w:val="22"/>
              </w:rPr>
            </w:pPr>
            <w:r>
              <w:rPr>
                <w:sz w:val="22"/>
                <w:szCs w:val="22"/>
              </w:rPr>
              <w:t xml:space="preserve">KS2 Maths and Reading outcomes in 2024/25 </w:t>
            </w:r>
            <w:r w:rsidR="000466C2">
              <w:rPr>
                <w:sz w:val="22"/>
                <w:szCs w:val="22"/>
              </w:rPr>
              <w:t xml:space="preserve">show more than </w:t>
            </w:r>
            <w:r w:rsidR="00EC0B4C">
              <w:rPr>
                <w:sz w:val="22"/>
                <w:szCs w:val="22"/>
              </w:rPr>
              <w:t>60% of disadvantaged pupils meet expected standards</w:t>
            </w:r>
          </w:p>
          <w:p w14:paraId="7A6CAB2C" w14:textId="77777777" w:rsidR="00141296" w:rsidRDefault="00141296" w:rsidP="00141296">
            <w:pPr>
              <w:pStyle w:val="TableRowCentered"/>
              <w:numPr>
                <w:ilvl w:val="0"/>
                <w:numId w:val="15"/>
              </w:numPr>
              <w:jc w:val="left"/>
              <w:rPr>
                <w:sz w:val="22"/>
                <w:szCs w:val="22"/>
              </w:rPr>
            </w:pPr>
            <w:r>
              <w:rPr>
                <w:sz w:val="22"/>
                <w:szCs w:val="22"/>
              </w:rPr>
              <w:t>Through PPM, disadvantaged children will be monitored as a key group</w:t>
            </w:r>
          </w:p>
          <w:p w14:paraId="2A7D5508" w14:textId="6338DFE4" w:rsidR="00141296" w:rsidRDefault="00141296" w:rsidP="00141296">
            <w:pPr>
              <w:pStyle w:val="TableRowCentered"/>
              <w:numPr>
                <w:ilvl w:val="0"/>
                <w:numId w:val="15"/>
              </w:numPr>
              <w:jc w:val="left"/>
              <w:rPr>
                <w:sz w:val="22"/>
                <w:szCs w:val="22"/>
              </w:rPr>
            </w:pPr>
            <w:r>
              <w:rPr>
                <w:sz w:val="22"/>
                <w:szCs w:val="22"/>
              </w:rPr>
              <w:t>Interventions for these children will be monitored and reviewed</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7A9A063" w:rsidR="00E66558" w:rsidRDefault="000A6B29">
            <w:pPr>
              <w:pStyle w:val="TableRow"/>
              <w:rPr>
                <w:sz w:val="22"/>
                <w:szCs w:val="22"/>
              </w:rPr>
            </w:pPr>
            <w:r>
              <w:rPr>
                <w:sz w:val="22"/>
                <w:szCs w:val="22"/>
              </w:rPr>
              <w:t>Wellbeing will be addressed to support mental health and pastoral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1D68" w14:textId="6CF842EF" w:rsidR="00E66558" w:rsidRDefault="007B32F3" w:rsidP="00141296">
            <w:pPr>
              <w:pStyle w:val="TableRowCentered"/>
              <w:numPr>
                <w:ilvl w:val="0"/>
                <w:numId w:val="16"/>
              </w:numPr>
              <w:jc w:val="left"/>
              <w:rPr>
                <w:sz w:val="22"/>
                <w:szCs w:val="22"/>
              </w:rPr>
            </w:pPr>
            <w:r>
              <w:rPr>
                <w:sz w:val="22"/>
                <w:szCs w:val="22"/>
              </w:rPr>
              <w:t xml:space="preserve">Through happiness health checks, pupil voice and monitoring, children’s wellbeing to improve </w:t>
            </w:r>
          </w:p>
          <w:p w14:paraId="28AC84D6" w14:textId="23EE6D3B" w:rsidR="005E5409" w:rsidRDefault="00982B29" w:rsidP="00141296">
            <w:pPr>
              <w:pStyle w:val="TableRowCentered"/>
              <w:numPr>
                <w:ilvl w:val="0"/>
                <w:numId w:val="16"/>
              </w:numPr>
              <w:jc w:val="left"/>
              <w:rPr>
                <w:sz w:val="22"/>
                <w:szCs w:val="22"/>
              </w:rPr>
            </w:pPr>
            <w:r>
              <w:rPr>
                <w:sz w:val="22"/>
                <w:szCs w:val="22"/>
              </w:rPr>
              <w:t xml:space="preserve">Significant </w:t>
            </w:r>
            <w:r w:rsidR="0010090F">
              <w:rPr>
                <w:sz w:val="22"/>
                <w:szCs w:val="22"/>
              </w:rPr>
              <w:t>increase in participation in enrichment activities</w:t>
            </w:r>
            <w:r w:rsidR="003C5B7E">
              <w:rPr>
                <w:sz w:val="22"/>
                <w:szCs w:val="22"/>
              </w:rPr>
              <w:t>, particu</w:t>
            </w:r>
            <w:r w:rsidR="007E40D5">
              <w:rPr>
                <w:sz w:val="22"/>
                <w:szCs w:val="22"/>
              </w:rPr>
              <w:t>larly among disadvantaged pupils</w:t>
            </w:r>
          </w:p>
          <w:p w14:paraId="2A7D550B" w14:textId="7276A81B" w:rsidR="007B32F3" w:rsidRDefault="007B32F3" w:rsidP="00141296">
            <w:pPr>
              <w:pStyle w:val="TableRowCentered"/>
              <w:numPr>
                <w:ilvl w:val="0"/>
                <w:numId w:val="16"/>
              </w:numPr>
              <w:jc w:val="left"/>
              <w:rPr>
                <w:sz w:val="22"/>
                <w:szCs w:val="22"/>
              </w:rPr>
            </w:pPr>
            <w:r>
              <w:rPr>
                <w:sz w:val="22"/>
                <w:szCs w:val="22"/>
              </w:rPr>
              <w:t>Children will attend school more regularly and feel “safe” at school</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6DC085B" w:rsidR="00E66558" w:rsidRDefault="009D71E8">
      <w:r>
        <w:t>Budgeted cost: £</w:t>
      </w:r>
      <w:r w:rsidR="001262DF">
        <w:t xml:space="preserve"> 19,565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132D4" w14:paraId="12CC2E63" w14:textId="77777777" w:rsidTr="001132D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222A8" w14:textId="692FAF57" w:rsidR="001132D4" w:rsidRPr="004D207C" w:rsidRDefault="001A6098">
            <w:pPr>
              <w:pStyle w:val="TableHeader"/>
              <w:jc w:val="left"/>
              <w:rPr>
                <w:b w:val="0"/>
                <w:bCs/>
              </w:rPr>
            </w:pPr>
            <w:r>
              <w:rPr>
                <w:b w:val="0"/>
                <w:bCs/>
              </w:rPr>
              <w:t>CPD for teachers with a focus on core subjects (Reading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29F76" w14:textId="2BE9EB5E" w:rsidR="001132D4" w:rsidRPr="007B32F3" w:rsidRDefault="007B32F3" w:rsidP="007B32F3">
            <w:pPr>
              <w:pStyle w:val="TableHeader"/>
              <w:numPr>
                <w:ilvl w:val="0"/>
                <w:numId w:val="18"/>
              </w:numPr>
              <w:jc w:val="left"/>
            </w:pPr>
            <w:r>
              <w:rPr>
                <w:b w:val="0"/>
                <w:bCs/>
              </w:rPr>
              <w:t xml:space="preserve">Supporting teacher’s development through CPD at Trust level and inhouse to develop as these are </w:t>
            </w:r>
            <w:r w:rsidR="001A311E">
              <w:rPr>
                <w:b w:val="0"/>
                <w:bCs/>
              </w:rPr>
              <w:t>our most valuable resource</w:t>
            </w:r>
          </w:p>
          <w:p w14:paraId="7293C3D6" w14:textId="77777777" w:rsidR="007B32F3" w:rsidRDefault="001A311E" w:rsidP="007B32F3">
            <w:pPr>
              <w:pStyle w:val="TableHeader"/>
              <w:numPr>
                <w:ilvl w:val="0"/>
                <w:numId w:val="18"/>
              </w:numPr>
              <w:jc w:val="left"/>
              <w:rPr>
                <w:b w:val="0"/>
                <w:bCs/>
              </w:rPr>
            </w:pPr>
            <w:r w:rsidRPr="00D54DF7">
              <w:rPr>
                <w:b w:val="0"/>
                <w:bCs/>
              </w:rPr>
              <w:t>Quality first teaching is the most valuable resource we have</w:t>
            </w:r>
          </w:p>
          <w:p w14:paraId="33F86AB0" w14:textId="028B3CF2" w:rsidR="00D54DF7" w:rsidRPr="00D54DF7" w:rsidRDefault="00142A1D" w:rsidP="007B32F3">
            <w:pPr>
              <w:pStyle w:val="TableHeader"/>
              <w:numPr>
                <w:ilvl w:val="0"/>
                <w:numId w:val="18"/>
              </w:numPr>
              <w:jc w:val="left"/>
              <w:rPr>
                <w:b w:val="0"/>
                <w:bCs/>
              </w:rPr>
            </w:pPr>
            <w:r w:rsidRPr="00142A1D">
              <w:rPr>
                <w:b w:val="0"/>
                <w:bCs/>
              </w:rPr>
              <w:t>The Sutton Trust (2011) confirms that good teachers are especially important for pupils from disadvantaged backgrounds, and through quality teaching first provide a consistently high standard, through setting expectations, monitoring performance, tailoring teaching and support to suit their pupils and sharing best practice.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1ABE4" w14:textId="669A20D9" w:rsidR="001132D4" w:rsidRDefault="007B32F3">
            <w:pPr>
              <w:pStyle w:val="TableHeader"/>
              <w:jc w:val="left"/>
            </w:pPr>
            <w:r>
              <w:t>2,3,4</w:t>
            </w:r>
          </w:p>
        </w:tc>
      </w:tr>
      <w:tr w:rsidR="00E426EF" w14:paraId="400EA73D" w14:textId="77777777" w:rsidTr="001132D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F492" w14:textId="77777777" w:rsidR="00E426EF" w:rsidRDefault="00A87DE4">
            <w:pPr>
              <w:pStyle w:val="TableHeader"/>
              <w:jc w:val="left"/>
              <w:rPr>
                <w:b w:val="0"/>
                <w:bCs/>
              </w:rPr>
            </w:pPr>
            <w:r>
              <w:rPr>
                <w:b w:val="0"/>
                <w:bCs/>
              </w:rPr>
              <w:t>Purchase of Standardised diagnostic assessments (NTS)</w:t>
            </w:r>
          </w:p>
          <w:p w14:paraId="7777153B" w14:textId="77777777" w:rsidR="00421486" w:rsidRDefault="00421486">
            <w:pPr>
              <w:pStyle w:val="TableHeader"/>
              <w:jc w:val="left"/>
              <w:rPr>
                <w:b w:val="0"/>
                <w:bCs/>
              </w:rPr>
            </w:pPr>
          </w:p>
          <w:p w14:paraId="26DD0282" w14:textId="33E1F20F" w:rsidR="00421486" w:rsidRPr="004D207C" w:rsidRDefault="0026010F">
            <w:pPr>
              <w:pStyle w:val="TableHeader"/>
              <w:jc w:val="left"/>
              <w:rPr>
                <w:b w:val="0"/>
                <w:bCs/>
              </w:rPr>
            </w:pPr>
            <w:r>
              <w:rPr>
                <w:b w:val="0"/>
                <w:bCs/>
              </w:rPr>
              <w:t xml:space="preserve">Training for staff </w:t>
            </w:r>
            <w:r w:rsidR="007D0D1D">
              <w:rPr>
                <w:b w:val="0"/>
                <w:bCs/>
              </w:rPr>
              <w:t>to ensure use of relevant data, QLA and following quality first teaching/interventions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60FBE" w14:textId="5BEC61B8" w:rsidR="00E426EF" w:rsidRPr="00421486" w:rsidRDefault="007D3D56" w:rsidP="00421486">
            <w:pPr>
              <w:pStyle w:val="TableRowCentered"/>
              <w:numPr>
                <w:ilvl w:val="0"/>
                <w:numId w:val="20"/>
              </w:numPr>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6AFAE" w14:textId="38447B88" w:rsidR="00E426EF" w:rsidRDefault="008839E1">
            <w:pPr>
              <w:pStyle w:val="TableHeader"/>
              <w:jc w:val="left"/>
            </w:pPr>
            <w:r>
              <w:t>2,3</w:t>
            </w:r>
            <w:r w:rsidR="00C761C0">
              <w:t>,4</w:t>
            </w:r>
          </w:p>
        </w:tc>
      </w:tr>
      <w:tr w:rsidR="0004560E" w14:paraId="58525271" w14:textId="77777777" w:rsidTr="001132D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9C6E0" w14:textId="77777777" w:rsidR="007146D1" w:rsidRPr="00E27862" w:rsidRDefault="007146D1" w:rsidP="007146D1">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774E2AD2" w14:textId="29892A1D" w:rsidR="0004560E" w:rsidRPr="00C31DDF" w:rsidRDefault="007146D1" w:rsidP="007146D1">
            <w:pPr>
              <w:pStyle w:val="TableHeader"/>
              <w:jc w:val="left"/>
              <w:rPr>
                <w:b w:val="0"/>
                <w:bCs/>
              </w:rPr>
            </w:pPr>
            <w:r w:rsidRPr="00C31DDF">
              <w:rPr>
                <w:b w:val="0"/>
                <w:bCs/>
                <w:color w:val="auto"/>
              </w:rPr>
              <w:t xml:space="preserve">We will fund teacher release time to </w:t>
            </w:r>
            <w:r w:rsidRPr="00C31DDF">
              <w:rPr>
                <w:b w:val="0"/>
                <w:bCs/>
                <w:color w:val="auto"/>
              </w:rPr>
              <w:lastRenderedPageBreak/>
              <w:t>embed key elements of guidance in school and to access Maths Hub resources and CPD (including Teaching for Mastery training</w:t>
            </w:r>
            <w:r w:rsidR="00DB2774" w:rsidRPr="00C31DDF">
              <w:rPr>
                <w:b w:val="0"/>
                <w:bCs/>
                <w:color w:val="auto"/>
              </w:rPr>
              <w:t xml:space="preserve"> and purchasing full </w:t>
            </w:r>
            <w:r w:rsidR="00DB5B5C" w:rsidRPr="00C31DDF">
              <w:rPr>
                <w:b w:val="0"/>
                <w:bCs/>
                <w:color w:val="auto"/>
              </w:rPr>
              <w:t>White Rose premium resources</w:t>
            </w:r>
            <w:r w:rsidRPr="00C31DDF">
              <w:rPr>
                <w:b w:val="0"/>
                <w:bCs/>
                <w:color w:val="auto"/>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724C3" w14:textId="77777777" w:rsidR="00DB2774" w:rsidRPr="00DB2774" w:rsidRDefault="00DB2774" w:rsidP="00DB2774">
            <w:pPr>
              <w:pStyle w:val="ListParagraph"/>
              <w:numPr>
                <w:ilvl w:val="0"/>
                <w:numId w:val="20"/>
              </w:numPr>
              <w:suppressAutoHyphens w:val="0"/>
              <w:autoSpaceDN/>
              <w:spacing w:before="60" w:after="60" w:line="240" w:lineRule="auto"/>
              <w:ind w:right="57"/>
              <w:rPr>
                <w:rFonts w:cs="Arial"/>
                <w:iCs/>
                <w:color w:val="auto"/>
              </w:rPr>
            </w:pPr>
            <w:r w:rsidRPr="00DB2774">
              <w:rPr>
                <w:rFonts w:cs="Arial"/>
                <w:iCs/>
                <w:color w:val="auto"/>
              </w:rPr>
              <w:lastRenderedPageBreak/>
              <w:t xml:space="preserve">The DfE non-statutory guidance has been produced in conjunction with the National Centre for Excellence in the Teaching of Mathematics, drawing on evidence-based approaches: </w:t>
            </w:r>
          </w:p>
          <w:p w14:paraId="18AA2B1A" w14:textId="77777777" w:rsidR="00DB2774" w:rsidRPr="00D01A6D" w:rsidRDefault="003F0824" w:rsidP="00DB2774">
            <w:pPr>
              <w:suppressAutoHyphens w:val="0"/>
              <w:autoSpaceDN/>
              <w:spacing w:before="60" w:after="120" w:line="240" w:lineRule="auto"/>
              <w:ind w:left="57" w:right="57"/>
              <w:rPr>
                <w:rFonts w:cs="Arial"/>
                <w:iCs/>
                <w:color w:val="0070C0"/>
              </w:rPr>
            </w:pPr>
            <w:hyperlink r:id="rId7" w:history="1">
              <w:r w:rsidR="00DB2774" w:rsidRPr="00D01A6D">
                <w:rPr>
                  <w:color w:val="0070C0"/>
                  <w:u w:val="single"/>
                </w:rPr>
                <w:t>Maths_guidance_KS_1_and_2.pdf (publishing.service.gov.uk)</w:t>
              </w:r>
            </w:hyperlink>
          </w:p>
          <w:p w14:paraId="53444B40" w14:textId="77777777" w:rsidR="00DB2774" w:rsidRPr="00E27862" w:rsidRDefault="00DB2774" w:rsidP="00DB2774">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0CCDB493" w14:textId="7E07C909" w:rsidR="0004560E" w:rsidRPr="00E27862" w:rsidRDefault="003F0824" w:rsidP="00DB2774">
            <w:pPr>
              <w:pStyle w:val="TableRowCentered"/>
              <w:numPr>
                <w:ilvl w:val="0"/>
                <w:numId w:val="20"/>
              </w:numPr>
              <w:jc w:val="left"/>
              <w:rPr>
                <w:color w:val="auto"/>
                <w:szCs w:val="24"/>
              </w:rPr>
            </w:pPr>
            <w:hyperlink r:id="rId8" w:history="1">
              <w:r w:rsidR="00DB2774" w:rsidRPr="000106A2">
                <w:rPr>
                  <w:rStyle w:val="Hyperlink"/>
                  <w:rFonts w:cs="Arial"/>
                  <w:color w:val="0070C0"/>
                </w:rPr>
                <w:t>Improving Mathematics in Key Stages 2 and 3</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52FA9" w14:textId="3643E2D4" w:rsidR="0004560E" w:rsidRDefault="00C761C0">
            <w:pPr>
              <w:pStyle w:val="TableHeader"/>
              <w:jc w:val="left"/>
            </w:pPr>
            <w:r>
              <w:lastRenderedPageBreak/>
              <w:t>4</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B4AB9" w14:textId="77777777" w:rsidR="007B32F3" w:rsidRDefault="00055BD1">
            <w:pPr>
              <w:pStyle w:val="TableRow"/>
            </w:pPr>
            <w:r>
              <w:t>I</w:t>
            </w:r>
            <w:r w:rsidR="00425D71">
              <w:t xml:space="preserve">mplementation of ELSA teaching through </w:t>
            </w:r>
            <w:r w:rsidR="00251D68">
              <w:t>Educational, Welfare Pastoral lead</w:t>
            </w:r>
          </w:p>
          <w:p w14:paraId="65FD66FC" w14:textId="77777777" w:rsidR="00251D68" w:rsidRDefault="00251D68" w:rsidP="00251D68">
            <w:pPr>
              <w:pStyle w:val="TableRow"/>
              <w:numPr>
                <w:ilvl w:val="0"/>
                <w:numId w:val="20"/>
              </w:numPr>
            </w:pPr>
            <w:r>
              <w:t>Whole school approach</w:t>
            </w:r>
          </w:p>
          <w:p w14:paraId="23AC2A32" w14:textId="77777777" w:rsidR="00251D68" w:rsidRDefault="00EB69AB" w:rsidP="00251D68">
            <w:pPr>
              <w:pStyle w:val="TableRow"/>
              <w:numPr>
                <w:ilvl w:val="0"/>
                <w:numId w:val="20"/>
              </w:numPr>
            </w:pPr>
            <w:r>
              <w:t>Small group</w:t>
            </w:r>
          </w:p>
          <w:p w14:paraId="2A7D551A" w14:textId="0FAD7E9D" w:rsidR="00EB69AB" w:rsidRDefault="00EB69AB" w:rsidP="00251D68">
            <w:pPr>
              <w:pStyle w:val="TableRow"/>
              <w:numPr>
                <w:ilvl w:val="0"/>
                <w:numId w:val="20"/>
              </w:numPr>
            </w:pPr>
            <w:r>
              <w:t xml:space="preserve">Individualised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D964BEC" w:rsidR="00E66558" w:rsidRPr="004C4594" w:rsidRDefault="004C4594" w:rsidP="004C4594">
            <w:pPr>
              <w:pStyle w:val="TableRowCentered"/>
              <w:numPr>
                <w:ilvl w:val="0"/>
                <w:numId w:val="20"/>
              </w:numPr>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6651FC6" w:rsidR="00E66558" w:rsidRDefault="00387926">
            <w:pPr>
              <w:pStyle w:val="TableRowCentered"/>
              <w:jc w:val="left"/>
              <w:rPr>
                <w:sz w:val="22"/>
              </w:rPr>
            </w:pPr>
            <w:r>
              <w:rPr>
                <w:sz w:val="22"/>
              </w:rPr>
              <w:t>1,5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B2CBAC5" w:rsidR="00E66558" w:rsidRPr="006170E7" w:rsidRDefault="009D71E8">
      <w:r w:rsidRPr="00597054">
        <w:t xml:space="preserve">Budgeted cost: £ </w:t>
      </w:r>
      <w:r w:rsidR="00597054">
        <w:t>36</w:t>
      </w:r>
      <w:r w:rsidR="003F0824">
        <w:t>,</w:t>
      </w:r>
      <w:r w:rsidR="00597054">
        <w:t>750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E1189CE" w:rsidR="00E66558" w:rsidRDefault="000A6B29">
            <w:pPr>
              <w:pStyle w:val="TableRow"/>
            </w:pPr>
            <w:r>
              <w:t>PIXL therapies</w:t>
            </w:r>
            <w:r w:rsidR="00A441C1">
              <w:t xml:space="preserve"> focusing on Maths and Reading skills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1731DD6" w:rsidR="00E66558" w:rsidRDefault="001A311E" w:rsidP="001A311E">
            <w:pPr>
              <w:pStyle w:val="TableRowCentered"/>
              <w:numPr>
                <w:ilvl w:val="0"/>
                <w:numId w:val="19"/>
              </w:numPr>
              <w:jc w:val="left"/>
              <w:rPr>
                <w:sz w:val="22"/>
              </w:rPr>
            </w:pPr>
            <w:proofErr w:type="spellStart"/>
            <w:r>
              <w:rPr>
                <w:sz w:val="22"/>
              </w:rPr>
              <w:t>Pixl</w:t>
            </w:r>
            <w:proofErr w:type="spellEnd"/>
            <w:r>
              <w:rPr>
                <w:sz w:val="22"/>
              </w:rPr>
              <w:t xml:space="preserve"> is a high</w:t>
            </w:r>
            <w:r w:rsidR="003F0824">
              <w:rPr>
                <w:sz w:val="22"/>
              </w:rPr>
              <w:t>-</w:t>
            </w:r>
            <w:r>
              <w:rPr>
                <w:sz w:val="22"/>
              </w:rPr>
              <w:t>quality resource which provides forensic analysis of children’s gaps. It then provides targeted interventions to support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448DAAD" w:rsidR="00E66558" w:rsidRDefault="001A311E">
            <w:pPr>
              <w:pStyle w:val="TableRowCentered"/>
              <w:jc w:val="left"/>
              <w:rPr>
                <w:sz w:val="22"/>
              </w:rPr>
            </w:pPr>
            <w:r>
              <w:rPr>
                <w:sz w:val="22"/>
              </w:rPr>
              <w:t>2,3,4</w:t>
            </w:r>
          </w:p>
        </w:tc>
      </w:tr>
      <w:tr w:rsidR="00E574F7" w14:paraId="531DC12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6C3C3" w14:textId="08495A69" w:rsidR="00E574F7" w:rsidRDefault="00F31FDA">
            <w:pPr>
              <w:pStyle w:val="TableRow"/>
            </w:pPr>
            <w:r>
              <w:t xml:space="preserve">Employment and support from Educational, Welfare and Pastoral lead to </w:t>
            </w:r>
            <w:r w:rsidR="00863227">
              <w:t xml:space="preserve">raise attendance </w:t>
            </w:r>
            <w:r w:rsidR="00437B5E">
              <w:t xml:space="preserve">over the school with a particular </w:t>
            </w:r>
            <w:r w:rsidR="00A05A45">
              <w:t xml:space="preserve">focus on PP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ED5A" w14:textId="15E9CFD9" w:rsidR="00E574F7" w:rsidRDefault="00B315D6" w:rsidP="001A311E">
            <w:pPr>
              <w:pStyle w:val="TableRowCentered"/>
              <w:numPr>
                <w:ilvl w:val="0"/>
                <w:numId w:val="19"/>
              </w:numPr>
              <w:jc w:val="left"/>
              <w:rPr>
                <w:sz w:val="22"/>
              </w:rPr>
            </w:pPr>
            <w:r>
              <w:rPr>
                <w:sz w:val="22"/>
              </w:rPr>
              <w:t>“Supporting the attainment of disad</w:t>
            </w:r>
            <w:r w:rsidR="00431FB2">
              <w:rPr>
                <w:sz w:val="22"/>
              </w:rPr>
              <w:t xml:space="preserve">vantaged pupils” </w:t>
            </w:r>
            <w:r w:rsidR="008A39F8">
              <w:rPr>
                <w:sz w:val="22"/>
              </w:rPr>
              <w:t xml:space="preserve">(Nov 2015) clearly states that children </w:t>
            </w:r>
            <w:proofErr w:type="gramStart"/>
            <w:r w:rsidR="008A39F8">
              <w:rPr>
                <w:sz w:val="22"/>
              </w:rPr>
              <w:t>have to</w:t>
            </w:r>
            <w:proofErr w:type="gramEnd"/>
            <w:r w:rsidR="008A39F8">
              <w:rPr>
                <w:sz w:val="22"/>
              </w:rPr>
              <w:t xml:space="preserve"> be in school </w:t>
            </w:r>
            <w:r w:rsidR="00DE464E">
              <w:rPr>
                <w:sz w:val="22"/>
              </w:rPr>
              <w:t xml:space="preserve">before they can access </w:t>
            </w:r>
            <w:r w:rsidR="00C536CC">
              <w:rPr>
                <w:sz w:val="22"/>
              </w:rPr>
              <w:t xml:space="preserve">their learning. It is therefore vital that we </w:t>
            </w:r>
            <w:r w:rsidR="00DF174E">
              <w:rPr>
                <w:sz w:val="22"/>
              </w:rPr>
              <w:t xml:space="preserve">ensure all barriers to attending school are </w:t>
            </w:r>
            <w:r w:rsidR="0027761E">
              <w:rPr>
                <w:sz w:val="22"/>
              </w:rPr>
              <w:t>removed and we support families to attend school regularly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E638C" w14:textId="75D91F96" w:rsidR="00E574F7" w:rsidRDefault="00387926">
            <w:pPr>
              <w:pStyle w:val="TableRowCentered"/>
              <w:jc w:val="left"/>
              <w:rPr>
                <w:sz w:val="22"/>
              </w:rPr>
            </w:pPr>
            <w:r>
              <w:rPr>
                <w:sz w:val="22"/>
              </w:rPr>
              <w:t>1,5</w:t>
            </w:r>
          </w:p>
        </w:tc>
      </w:tr>
      <w:tr w:rsidR="003647C4" w14:paraId="68815B3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9917" w14:textId="77777777" w:rsidR="003647C4" w:rsidRPr="00E574F7" w:rsidRDefault="003647C4" w:rsidP="003647C4">
            <w:pPr>
              <w:pStyle w:val="TableRow"/>
              <w:rPr>
                <w:sz w:val="22"/>
                <w:szCs w:val="22"/>
              </w:rPr>
            </w:pPr>
            <w:r w:rsidRPr="00E574F7">
              <w:rPr>
                <w:sz w:val="22"/>
                <w:szCs w:val="22"/>
              </w:rPr>
              <w:t>Intervention Teacher</w:t>
            </w:r>
          </w:p>
          <w:p w14:paraId="590DDA20" w14:textId="3AF1D67B" w:rsidR="003647C4" w:rsidRPr="00E574F7" w:rsidRDefault="003647C4" w:rsidP="003647C4">
            <w:pPr>
              <w:pStyle w:val="TableRow"/>
            </w:pPr>
            <w:r w:rsidRPr="00E574F7">
              <w:t xml:space="preserve">Small group and 1:1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5EF85" w14:textId="6ABDFF54" w:rsidR="003647C4" w:rsidRDefault="003647C4" w:rsidP="003647C4">
            <w:pPr>
              <w:pStyle w:val="TableRowCentered"/>
              <w:numPr>
                <w:ilvl w:val="0"/>
                <w:numId w:val="19"/>
              </w:numPr>
              <w:jc w:val="left"/>
              <w:rPr>
                <w:sz w:val="22"/>
              </w:rPr>
            </w:pPr>
            <w:r>
              <w:t>Evidence consistently shows the positive impact that targeted academic support can have, including on those who are not making good progress across the spectrum of achievement.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7863" w14:textId="15F920C5" w:rsidR="003647C4" w:rsidRDefault="003647C4" w:rsidP="003647C4">
            <w:pPr>
              <w:pStyle w:val="TableRowCentered"/>
              <w:jc w:val="left"/>
              <w:rPr>
                <w:sz w:val="22"/>
              </w:rPr>
            </w:pPr>
            <w:r>
              <w:rPr>
                <w:sz w:val="22"/>
              </w:rPr>
              <w:t>2,3,4</w:t>
            </w:r>
          </w:p>
        </w:tc>
      </w:tr>
      <w:tr w:rsidR="003647C4" w14:paraId="7110BDC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C23E" w14:textId="116AE496" w:rsidR="003647C4" w:rsidRPr="00E574F7" w:rsidRDefault="003647C4" w:rsidP="003647C4">
            <w:pPr>
              <w:pStyle w:val="TableRow"/>
            </w:pPr>
            <w:r w:rsidRPr="00E574F7">
              <w:rPr>
                <w:sz w:val="22"/>
              </w:rPr>
              <w:lastRenderedPageBreak/>
              <w:t>HLTA x 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FF8C0" w14:textId="77777777" w:rsidR="003647C4" w:rsidRDefault="003647C4" w:rsidP="003647C4">
            <w:pPr>
              <w:pStyle w:val="TableRowCentered"/>
              <w:numPr>
                <w:ilvl w:val="0"/>
                <w:numId w:val="17"/>
              </w:numPr>
              <w:jc w:val="left"/>
              <w:rPr>
                <w:sz w:val="22"/>
              </w:rPr>
            </w:pPr>
            <w:r>
              <w:rPr>
                <w:sz w:val="22"/>
              </w:rPr>
              <w:t>Allowing lead teachers time to support in leading the school and running interventions</w:t>
            </w:r>
          </w:p>
          <w:p w14:paraId="5A2F9585" w14:textId="6186C8AC" w:rsidR="003647C4" w:rsidRDefault="003647C4" w:rsidP="003647C4">
            <w:pPr>
              <w:pStyle w:val="TableRowCentered"/>
              <w:numPr>
                <w:ilvl w:val="0"/>
                <w:numId w:val="19"/>
              </w:numPr>
              <w:jc w:val="left"/>
              <w:rPr>
                <w:sz w:val="22"/>
              </w:rPr>
            </w:pPr>
            <w:r>
              <w:rPr>
                <w:sz w:val="22"/>
              </w:rPr>
              <w:t xml:space="preserve">HLTA’s will also run small group interventions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7F6B7" w14:textId="0ACD500B" w:rsidR="003647C4" w:rsidRDefault="003647C4" w:rsidP="003647C4">
            <w:pPr>
              <w:pStyle w:val="TableRowCentered"/>
              <w:jc w:val="left"/>
              <w:rPr>
                <w:sz w:val="22"/>
              </w:rPr>
            </w:pPr>
            <w:r>
              <w:rPr>
                <w:sz w:val="22"/>
              </w:rPr>
              <w:t>2,3,4</w:t>
            </w:r>
          </w:p>
        </w:tc>
      </w:tr>
      <w:tr w:rsidR="003647C4" w14:paraId="1C1707B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3187E" w14:textId="01847C82" w:rsidR="003647C4" w:rsidRPr="00E574F7" w:rsidRDefault="003647C4" w:rsidP="003647C4">
            <w:pPr>
              <w:pStyle w:val="TableRow"/>
            </w:pPr>
            <w:r w:rsidRPr="00E574F7">
              <w:rPr>
                <w:sz w:val="22"/>
              </w:rPr>
              <w:t xml:space="preserve">HLTA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F82F9" w14:textId="465840F1" w:rsidR="003647C4" w:rsidRDefault="0060255B" w:rsidP="003647C4">
            <w:pPr>
              <w:pStyle w:val="TableRowCentered"/>
              <w:numPr>
                <w:ilvl w:val="0"/>
                <w:numId w:val="19"/>
              </w:numPr>
              <w:jc w:val="left"/>
              <w:rPr>
                <w:sz w:val="22"/>
              </w:rPr>
            </w:pPr>
            <w:r>
              <w:rPr>
                <w:sz w:val="22"/>
              </w:rPr>
              <w:t>By d</w:t>
            </w:r>
            <w:r w:rsidR="003647C4">
              <w:rPr>
                <w:sz w:val="22"/>
              </w:rPr>
              <w:t>eveloping other staff members to support the children and the team</w:t>
            </w:r>
            <w:r>
              <w:rPr>
                <w:sz w:val="22"/>
              </w:rPr>
              <w:t xml:space="preserve">, we </w:t>
            </w:r>
            <w:r w:rsidR="00B72C13">
              <w:rPr>
                <w:sz w:val="22"/>
              </w:rPr>
              <w:t xml:space="preserve">will </w:t>
            </w:r>
            <w:r w:rsidR="00A255F6">
              <w:rPr>
                <w:sz w:val="22"/>
              </w:rPr>
              <w:t xml:space="preserve">support our children to achieve their best </w:t>
            </w:r>
            <w:r w:rsidR="00A8123D">
              <w:rPr>
                <w:sz w:val="22"/>
              </w:rPr>
              <w:t>regardless of their starting point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6532" w14:textId="40CDC21C" w:rsidR="003647C4" w:rsidRDefault="003647C4" w:rsidP="003647C4">
            <w:pPr>
              <w:pStyle w:val="TableRowCentered"/>
              <w:jc w:val="left"/>
              <w:rPr>
                <w:sz w:val="22"/>
              </w:rPr>
            </w:pPr>
            <w:r>
              <w:rPr>
                <w:sz w:val="22"/>
              </w:rPr>
              <w:t>2,3,4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6780C7B" w:rsidR="00E66558" w:rsidRDefault="009D71E8">
      <w:pPr>
        <w:spacing w:before="240" w:after="120"/>
      </w:pPr>
      <w:r w:rsidRPr="00C24EF1">
        <w:t>Budgeted cost: £</w:t>
      </w:r>
      <w:r w:rsidR="00FB4D9D">
        <w:t xml:space="preserve"> 19,044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01DECDC" w:rsidR="00E66558" w:rsidRDefault="000A6B29">
            <w:pPr>
              <w:pStyle w:val="TableRow"/>
            </w:pPr>
            <w:r>
              <w:t>Education pastoral family worker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6CB1115" w:rsidR="00E66558" w:rsidRDefault="001A311E" w:rsidP="001A311E">
            <w:pPr>
              <w:pStyle w:val="TableRowCentered"/>
              <w:numPr>
                <w:ilvl w:val="0"/>
                <w:numId w:val="19"/>
              </w:numPr>
              <w:jc w:val="left"/>
              <w:rPr>
                <w:sz w:val="22"/>
              </w:rPr>
            </w:pPr>
            <w:r>
              <w:rPr>
                <w:sz w:val="22"/>
              </w:rPr>
              <w:t>Attendance is an ongoing issue and unless the children are in school, we are unable to support them – by employing a dedicated member of staff for this area, we aim to develop relationships with key families and support their needs in this area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EF0530A" w:rsidR="00E66558" w:rsidRDefault="00DC6158">
            <w:pPr>
              <w:pStyle w:val="TableRowCentered"/>
              <w:jc w:val="left"/>
              <w:rPr>
                <w:sz w:val="22"/>
              </w:rPr>
            </w:pPr>
            <w:r>
              <w:rPr>
                <w:sz w:val="22"/>
              </w:rPr>
              <w:t>1</w:t>
            </w:r>
            <w:r w:rsidR="001A311E">
              <w:rPr>
                <w:sz w:val="22"/>
              </w:rPr>
              <w:t>,5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B8B009A" w:rsidR="00E66558" w:rsidRPr="000A6B29" w:rsidRDefault="000A6B29">
            <w:pPr>
              <w:pStyle w:val="TableRow"/>
              <w:rPr>
                <w:iCs/>
                <w:sz w:val="22"/>
              </w:rPr>
            </w:pPr>
            <w:r>
              <w:rPr>
                <w:iCs/>
                <w:sz w:val="22"/>
              </w:rPr>
              <w:t>Inside Out Charity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84C8285" w:rsidR="00E66558" w:rsidRDefault="001A311E" w:rsidP="001A311E">
            <w:pPr>
              <w:pStyle w:val="TableRowCentered"/>
              <w:numPr>
                <w:ilvl w:val="0"/>
                <w:numId w:val="19"/>
              </w:numPr>
              <w:jc w:val="left"/>
              <w:rPr>
                <w:sz w:val="22"/>
              </w:rPr>
            </w:pPr>
            <w:r>
              <w:rPr>
                <w:sz w:val="22"/>
              </w:rPr>
              <w:t xml:space="preserve">Inside Out are a tried and tested charity foundation aimed at supporting the happiness and wellbeing of children and young people. Happy children learn better.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926C9CE" w:rsidR="00E66558" w:rsidRDefault="00DC6158">
            <w:pPr>
              <w:pStyle w:val="TableRowCentered"/>
              <w:jc w:val="left"/>
              <w:rPr>
                <w:sz w:val="22"/>
              </w:rPr>
            </w:pPr>
            <w:r>
              <w:rPr>
                <w:sz w:val="22"/>
              </w:rPr>
              <w:t>1</w:t>
            </w:r>
            <w:r w:rsidR="001A311E">
              <w:rPr>
                <w:sz w:val="22"/>
              </w:rPr>
              <w:t>,5</w:t>
            </w:r>
          </w:p>
        </w:tc>
      </w:tr>
      <w:tr w:rsidR="000A6B29" w14:paraId="66A3B40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0D4B3" w14:textId="0E55AE5F" w:rsidR="000A6B29" w:rsidRDefault="000A6B29">
            <w:pPr>
              <w:pStyle w:val="TableRow"/>
              <w:rPr>
                <w:iCs/>
                <w:sz w:val="22"/>
              </w:rPr>
            </w:pPr>
            <w:r>
              <w:rPr>
                <w:iCs/>
                <w:sz w:val="22"/>
              </w:rPr>
              <w:t xml:space="preserve">Blob Tree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BDFA" w14:textId="2B4C7416" w:rsidR="000A6B29" w:rsidRDefault="001A311E" w:rsidP="001A311E">
            <w:pPr>
              <w:pStyle w:val="TableRowCentered"/>
              <w:numPr>
                <w:ilvl w:val="0"/>
                <w:numId w:val="19"/>
              </w:numPr>
              <w:jc w:val="left"/>
              <w:rPr>
                <w:sz w:val="22"/>
              </w:rPr>
            </w:pPr>
            <w:r>
              <w:rPr>
                <w:sz w:val="22"/>
              </w:rPr>
              <w:t>The Blob Tree provides expert insight into a child’s state of mind and allows the adults to support them through a holistic, pastoral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10FB0" w14:textId="3C8B318D" w:rsidR="000A6B29" w:rsidRDefault="00DC6158">
            <w:pPr>
              <w:pStyle w:val="TableRowCentered"/>
              <w:jc w:val="left"/>
              <w:rPr>
                <w:sz w:val="22"/>
              </w:rPr>
            </w:pPr>
            <w:r>
              <w:rPr>
                <w:sz w:val="22"/>
              </w:rPr>
              <w:t>1</w:t>
            </w:r>
            <w:r w:rsidR="001A311E">
              <w:rPr>
                <w:sz w:val="22"/>
              </w:rPr>
              <w:t xml:space="preserve">,5 </w:t>
            </w:r>
          </w:p>
        </w:tc>
      </w:tr>
      <w:tr w:rsidR="00C10191" w14:paraId="65B63C3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AA65" w14:textId="6685EAEE" w:rsidR="00C10191" w:rsidRDefault="00C10191">
            <w:pPr>
              <w:pStyle w:val="TableRow"/>
              <w:rPr>
                <w:iCs/>
                <w:sz w:val="22"/>
              </w:rPr>
            </w:pPr>
            <w:r>
              <w:rPr>
                <w:iCs/>
                <w:sz w:val="22"/>
              </w:rPr>
              <w:t xml:space="preserve">Funding towards cost of </w:t>
            </w:r>
            <w:r w:rsidR="00AC2D58">
              <w:rPr>
                <w:iCs/>
                <w:sz w:val="22"/>
              </w:rPr>
              <w:t>out of school trips and experiences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CB1CC" w14:textId="7EB0B721" w:rsidR="00C10191" w:rsidRDefault="00AC2D58" w:rsidP="001A311E">
            <w:pPr>
              <w:pStyle w:val="TableRowCentered"/>
              <w:numPr>
                <w:ilvl w:val="0"/>
                <w:numId w:val="19"/>
              </w:numPr>
              <w:jc w:val="left"/>
              <w:rPr>
                <w:sz w:val="22"/>
              </w:rPr>
            </w:pPr>
            <w:r>
              <w:rPr>
                <w:sz w:val="22"/>
              </w:rPr>
              <w:t xml:space="preserve">Some families are unable to contribute </w:t>
            </w:r>
            <w:r w:rsidR="000E633D">
              <w:rPr>
                <w:sz w:val="22"/>
              </w:rPr>
              <w:t xml:space="preserve">towards out of school experiences such as residential trips or educational </w:t>
            </w:r>
            <w:r w:rsidR="004E06BB">
              <w:rPr>
                <w:sz w:val="22"/>
              </w:rPr>
              <w:t xml:space="preserve">trips. The school will support financially </w:t>
            </w:r>
            <w:r w:rsidR="00F96A91">
              <w:rPr>
                <w:sz w:val="22"/>
              </w:rPr>
              <w:t>PP parents/carers to ensure they are given equal opportunities to experience these events.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8F11" w14:textId="32C65903" w:rsidR="00C10191" w:rsidRDefault="00DC6158">
            <w:pPr>
              <w:pStyle w:val="TableRowCentered"/>
              <w:jc w:val="left"/>
              <w:rPr>
                <w:sz w:val="22"/>
              </w:rPr>
            </w:pPr>
            <w:r>
              <w:rPr>
                <w:sz w:val="22"/>
              </w:rPr>
              <w:t>1,5</w:t>
            </w:r>
          </w:p>
        </w:tc>
      </w:tr>
      <w:tr w:rsidR="00546BA6" w14:paraId="4CA4B87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B6CB6" w14:textId="77777777" w:rsidR="00546BA6" w:rsidRPr="00E27862" w:rsidRDefault="00546BA6" w:rsidP="00546BA6">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5DA179EC" w14:textId="77777777" w:rsidR="00546BA6" w:rsidRDefault="00546BA6" w:rsidP="00546BA6">
            <w:pPr>
              <w:pStyle w:val="TableRow"/>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41B5" w14:textId="47B64AF3" w:rsidR="00546BA6" w:rsidRDefault="00546BA6" w:rsidP="00546BA6">
            <w:pPr>
              <w:pStyle w:val="TableRowCentered"/>
              <w:numPr>
                <w:ilvl w:val="0"/>
                <w:numId w:val="19"/>
              </w:numPr>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709B" w14:textId="37661509" w:rsidR="00546BA6" w:rsidRDefault="00546BA6" w:rsidP="00546BA6">
            <w:pPr>
              <w:pStyle w:val="TableRowCentered"/>
              <w:jc w:val="left"/>
              <w:rPr>
                <w:sz w:val="22"/>
              </w:rPr>
            </w:pPr>
            <w:r w:rsidRPr="00E27862">
              <w:rPr>
                <w:color w:val="auto"/>
                <w:sz w:val="22"/>
              </w:rPr>
              <w:t>All</w:t>
            </w:r>
          </w:p>
        </w:tc>
      </w:tr>
    </w:tbl>
    <w:p w14:paraId="2A7D5540" w14:textId="77777777" w:rsidR="00E66558" w:rsidRDefault="00E66558">
      <w:pPr>
        <w:spacing w:before="240" w:after="0"/>
        <w:rPr>
          <w:b/>
          <w:bCs/>
          <w:color w:val="104F75"/>
          <w:sz w:val="28"/>
          <w:szCs w:val="28"/>
        </w:rPr>
      </w:pPr>
    </w:p>
    <w:p w14:paraId="2A7D5541" w14:textId="07E0868B" w:rsidR="00E66558" w:rsidRDefault="009D71E8" w:rsidP="00120AB1">
      <w:r w:rsidRPr="000D53CB">
        <w:rPr>
          <w:b/>
          <w:bCs/>
          <w:color w:val="104F75"/>
          <w:sz w:val="28"/>
          <w:szCs w:val="28"/>
        </w:rPr>
        <w:t xml:space="preserve">Total budgeted cost: </w:t>
      </w:r>
      <w:r w:rsidR="00C77E9F">
        <w:rPr>
          <w:b/>
          <w:bCs/>
          <w:color w:val="104F75"/>
          <w:sz w:val="28"/>
          <w:szCs w:val="28"/>
        </w:rPr>
        <w:t>£ 75,359.20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rsidRPr="003A31DA">
        <w:t>This details the impact that our pupil premium activity had on pupils in the 2020 to 2021 academic year.</w:t>
      </w:r>
      <w:r>
        <w:t xml:space="preserve">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1AE93" w14:textId="3C1CABA1" w:rsidR="007B5363" w:rsidRPr="007B5363" w:rsidRDefault="007B5363">
            <w:pPr>
              <w:spacing w:before="120"/>
              <w:rPr>
                <w:b/>
                <w:bCs/>
                <w:iCs/>
              </w:rPr>
            </w:pPr>
            <w:r w:rsidRPr="007B5363">
              <w:rPr>
                <w:b/>
                <w:bCs/>
                <w:iCs/>
              </w:rPr>
              <w:t>Academic</w:t>
            </w:r>
          </w:p>
          <w:p w14:paraId="2EB48F8A" w14:textId="1E9B1644" w:rsidR="00673ED2" w:rsidRDefault="00673ED2">
            <w:pPr>
              <w:spacing w:before="120"/>
              <w:rPr>
                <w:iCs/>
              </w:rPr>
            </w:pPr>
            <w:r>
              <w:rPr>
                <w:iCs/>
              </w:rPr>
              <w:t xml:space="preserve">Through our internal assessment during 2020/21 </w:t>
            </w:r>
            <w:r w:rsidR="008A6178">
              <w:rPr>
                <w:iCs/>
              </w:rPr>
              <w:t xml:space="preserve">period, </w:t>
            </w:r>
            <w:r w:rsidR="00130F5F">
              <w:rPr>
                <w:iCs/>
              </w:rPr>
              <w:t xml:space="preserve">it was evident that the performance of disadvantaged children </w:t>
            </w:r>
            <w:r w:rsidR="00BA414C">
              <w:rPr>
                <w:iCs/>
              </w:rPr>
              <w:t>compared to non-disadvantaged</w:t>
            </w:r>
            <w:r w:rsidR="00294838">
              <w:rPr>
                <w:iCs/>
              </w:rPr>
              <w:t xml:space="preserve"> was lower than we would have </w:t>
            </w:r>
            <w:r w:rsidR="00E003C8">
              <w:rPr>
                <w:iCs/>
              </w:rPr>
              <w:t>liked</w:t>
            </w:r>
            <w:r w:rsidR="00D06424">
              <w:rPr>
                <w:iCs/>
              </w:rPr>
              <w:t xml:space="preserve">, however, the </w:t>
            </w:r>
            <w:r w:rsidR="000E0AC7">
              <w:rPr>
                <w:iCs/>
              </w:rPr>
              <w:t xml:space="preserve">difference was diminished through the </w:t>
            </w:r>
            <w:r w:rsidR="00AE4EA4">
              <w:rPr>
                <w:iCs/>
              </w:rPr>
              <w:t>targeted support put in place.</w:t>
            </w:r>
          </w:p>
          <w:p w14:paraId="3EB1ED92" w14:textId="30FB0C5D" w:rsidR="00E003C8" w:rsidRDefault="00E003C8">
            <w:pPr>
              <w:spacing w:before="120"/>
              <w:rPr>
                <w:iCs/>
              </w:rPr>
            </w:pPr>
            <w:r>
              <w:rPr>
                <w:iCs/>
              </w:rPr>
              <w:t>This was particularly evident in Reading and Maths where</w:t>
            </w:r>
            <w:r w:rsidR="006928EE">
              <w:rPr>
                <w:iCs/>
              </w:rPr>
              <w:t>, in some cases,</w:t>
            </w:r>
            <w:r>
              <w:rPr>
                <w:iCs/>
              </w:rPr>
              <w:t xml:space="preserve"> </w:t>
            </w:r>
            <w:r w:rsidR="00BB56BE">
              <w:rPr>
                <w:iCs/>
              </w:rPr>
              <w:t>disadvantaged children</w:t>
            </w:r>
            <w:r w:rsidR="006928EE">
              <w:rPr>
                <w:iCs/>
              </w:rPr>
              <w:t xml:space="preserve"> exceeded the progress made by non-disadvantaged children. </w:t>
            </w:r>
            <w:r w:rsidR="00B83C2F">
              <w:rPr>
                <w:iCs/>
              </w:rPr>
              <w:t>This can be attributed to the targeted interventions</w:t>
            </w:r>
            <w:r w:rsidR="00B83222">
              <w:rPr>
                <w:iCs/>
              </w:rPr>
              <w:t xml:space="preserve"> in both these areas of the curriculum and the purchase of supporting materials such as Accelerated Reader and </w:t>
            </w:r>
            <w:proofErr w:type="spellStart"/>
            <w:r w:rsidR="00B83222">
              <w:rPr>
                <w:iCs/>
              </w:rPr>
              <w:t>MyMaths</w:t>
            </w:r>
            <w:proofErr w:type="spellEnd"/>
            <w:r w:rsidR="00AA364E">
              <w:rPr>
                <w:iCs/>
              </w:rPr>
              <w:t>.</w:t>
            </w:r>
          </w:p>
          <w:p w14:paraId="1F1B4E5E" w14:textId="479CAD79" w:rsidR="0075294C" w:rsidRDefault="008968F6">
            <w:pPr>
              <w:spacing w:before="120"/>
              <w:rPr>
                <w:iCs/>
              </w:rPr>
            </w:pPr>
            <w:r>
              <w:rPr>
                <w:iCs/>
              </w:rPr>
              <w:t xml:space="preserve">An additional </w:t>
            </w:r>
            <w:r w:rsidR="00AB4340">
              <w:rPr>
                <w:iCs/>
              </w:rPr>
              <w:t xml:space="preserve">teacher was also employed to specifically target children in Year 5, ready for the transition into Year 6. </w:t>
            </w:r>
            <w:r w:rsidR="00C43F2E">
              <w:rPr>
                <w:iCs/>
              </w:rPr>
              <w:t>This was a bespoke programme depending on the children’s individual starting point</w:t>
            </w:r>
            <w:r w:rsidR="00F62400">
              <w:rPr>
                <w:iCs/>
              </w:rPr>
              <w:t xml:space="preserve">s. Through our internal </w:t>
            </w:r>
            <w:r w:rsidR="00837C49">
              <w:rPr>
                <w:iCs/>
              </w:rPr>
              <w:t xml:space="preserve">assessments, it was </w:t>
            </w:r>
            <w:r w:rsidR="004A31CB">
              <w:rPr>
                <w:iCs/>
              </w:rPr>
              <w:t xml:space="preserve">evident that the children had begun to </w:t>
            </w:r>
            <w:r w:rsidR="00543717">
              <w:rPr>
                <w:iCs/>
              </w:rPr>
              <w:t>attain closer to their peers.</w:t>
            </w:r>
          </w:p>
          <w:p w14:paraId="60B7C3B6" w14:textId="59C9CAD8" w:rsidR="00CA7E3A" w:rsidRDefault="00671F6E">
            <w:pPr>
              <w:spacing w:before="120"/>
              <w:rPr>
                <w:iCs/>
              </w:rPr>
            </w:pPr>
            <w:r>
              <w:rPr>
                <w:iCs/>
              </w:rPr>
              <w:t xml:space="preserve">Phonics screening results of 2021 showed </w:t>
            </w:r>
            <w:r w:rsidRPr="003A31DA">
              <w:rPr>
                <w:iCs/>
              </w:rPr>
              <w:t xml:space="preserve">that </w:t>
            </w:r>
            <w:r w:rsidR="004D1F45" w:rsidRPr="003A31DA">
              <w:rPr>
                <w:iCs/>
              </w:rPr>
              <w:t>86%</w:t>
            </w:r>
            <w:r w:rsidR="004D1F45">
              <w:rPr>
                <w:iCs/>
              </w:rPr>
              <w:t xml:space="preserve"> of children </w:t>
            </w:r>
            <w:r w:rsidR="007B1213">
              <w:rPr>
                <w:iCs/>
              </w:rPr>
              <w:t>passed the screening. This was achieved through quality first teaching, CPD and targeted intervention</w:t>
            </w:r>
            <w:r w:rsidR="00C25FDA">
              <w:rPr>
                <w:iCs/>
              </w:rPr>
              <w:t xml:space="preserve">. These interventions and CPD will continue to develop new staff members </w:t>
            </w:r>
            <w:r w:rsidR="00BE493B">
              <w:rPr>
                <w:iCs/>
              </w:rPr>
              <w:t>and ensure the difference is diminished between disadvantaged and non-disadvantaged pupils.</w:t>
            </w:r>
          </w:p>
          <w:p w14:paraId="388A82F5" w14:textId="21576615" w:rsidR="0075294C" w:rsidRPr="0075294C" w:rsidRDefault="0075294C">
            <w:pPr>
              <w:spacing w:before="120"/>
              <w:rPr>
                <w:b/>
                <w:bCs/>
                <w:iCs/>
              </w:rPr>
            </w:pPr>
            <w:r w:rsidRPr="0075294C">
              <w:rPr>
                <w:b/>
                <w:bCs/>
                <w:iCs/>
              </w:rPr>
              <w:t>Pastoral</w:t>
            </w:r>
          </w:p>
          <w:p w14:paraId="79D5EE55" w14:textId="07A4CC32" w:rsidR="0075294C" w:rsidRDefault="0075294C">
            <w:pPr>
              <w:spacing w:before="120"/>
              <w:rPr>
                <w:color w:val="auto"/>
                <w:lang w:eastAsia="en-US"/>
              </w:rPr>
            </w:pPr>
            <w:r w:rsidRPr="00E27862">
              <w:rPr>
                <w:color w:val="auto"/>
                <w:lang w:eastAsia="en-US"/>
              </w:rPr>
              <w:t>Our assessments and observations indicated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r w:rsidR="00B64B49">
              <w:rPr>
                <w:color w:val="auto"/>
                <w:lang w:eastAsia="en-US"/>
              </w:rPr>
              <w:t xml:space="preserve"> including </w:t>
            </w:r>
            <w:r w:rsidR="00D8184E">
              <w:rPr>
                <w:color w:val="auto"/>
                <w:lang w:eastAsia="en-US"/>
              </w:rPr>
              <w:t>whole school ELSA support, Inside Out charity and our Pastoral toolkit</w:t>
            </w:r>
            <w:r w:rsidR="00A06684">
              <w:rPr>
                <w:color w:val="auto"/>
                <w:lang w:eastAsia="en-US"/>
              </w:rPr>
              <w:t xml:space="preserve">. </w:t>
            </w:r>
          </w:p>
          <w:p w14:paraId="2A7D5546" w14:textId="21587B68" w:rsidR="00E66558" w:rsidRPr="004C283F" w:rsidRDefault="00A06684" w:rsidP="004C283F">
            <w:pPr>
              <w:spacing w:before="120"/>
              <w:rPr>
                <w:iCs/>
              </w:rPr>
            </w:pPr>
            <w:r>
              <w:rPr>
                <w:iCs/>
              </w:rPr>
              <w:t xml:space="preserve">Although our attendance overall was </w:t>
            </w:r>
            <w:r w:rsidR="00D13449">
              <w:rPr>
                <w:iCs/>
              </w:rPr>
              <w:t>below national average, the difference between disadvantaged and non-disadvantaged was reduced to within 1%</w:t>
            </w:r>
            <w:r w:rsidR="00174B1C">
              <w:rPr>
                <w:iCs/>
              </w:rPr>
              <w:t>. We will continue to develop this area of the school to ensure attendance across the school increases to at least in line with national.</w:t>
            </w:r>
            <w:r w:rsidR="009D71E8">
              <w:rPr>
                <w:i/>
                <w:lang w:eastAsia="en-US"/>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801FDC5" w:rsidR="00E66558" w:rsidRDefault="00731476">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DA1B48E" w:rsidR="00E66558" w:rsidRDefault="00731476">
            <w:pPr>
              <w:pStyle w:val="TableRowCentered"/>
              <w:jc w:val="left"/>
            </w:pPr>
            <w:r>
              <w:t>N/A</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9C30226" w:rsidR="00E66558" w:rsidRDefault="00D120C0">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3151101" w:rsidR="00E66558" w:rsidRDefault="00D120C0">
            <w:pPr>
              <w:pStyle w:val="TableRowCentered"/>
              <w:jc w:val="left"/>
            </w:pPr>
            <w:r>
              <w:t>N/A</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A9D2F" w14:textId="77777777" w:rsidR="009D3A4D" w:rsidRDefault="009D3A4D">
      <w:pPr>
        <w:spacing w:after="0" w:line="240" w:lineRule="auto"/>
      </w:pPr>
      <w:r>
        <w:separator/>
      </w:r>
    </w:p>
  </w:endnote>
  <w:endnote w:type="continuationSeparator" w:id="0">
    <w:p w14:paraId="0DD77B5B" w14:textId="77777777" w:rsidR="009D3A4D" w:rsidRDefault="009D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82E8B" w14:textId="77777777" w:rsidR="009D3A4D" w:rsidRDefault="009D3A4D">
      <w:pPr>
        <w:spacing w:after="0" w:line="240" w:lineRule="auto"/>
      </w:pPr>
      <w:r>
        <w:separator/>
      </w:r>
    </w:p>
  </w:footnote>
  <w:footnote w:type="continuationSeparator" w:id="0">
    <w:p w14:paraId="474C5FEF" w14:textId="77777777" w:rsidR="009D3A4D" w:rsidRDefault="009D3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54BC" w14:textId="77777777" w:rsidR="005E28A4" w:rsidRDefault="003F0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9761E"/>
    <w:multiLevelType w:val="multilevel"/>
    <w:tmpl w:val="6C86EF6A"/>
    <w:styleLink w:val="LFO6"/>
    <w:lvl w:ilvl="0">
      <w:numFmt w:val="bullet"/>
      <w:pStyle w:val="ListBullet"/>
      <w:lvlText w:val=""/>
      <w:lvlJc w:val="left"/>
      <w:pPr>
        <w:ind w:left="-948" w:hanging="360"/>
      </w:pPr>
      <w:rPr>
        <w:rFonts w:ascii="Symbol" w:hAnsi="Symbol"/>
      </w:rPr>
    </w:lvl>
    <w:lvl w:ilvl="1">
      <w:numFmt w:val="bullet"/>
      <w:lvlText w:val=""/>
      <w:lvlJc w:val="left"/>
      <w:pPr>
        <w:ind w:left="-228" w:hanging="360"/>
      </w:pPr>
      <w:rPr>
        <w:rFonts w:ascii="Symbol" w:hAnsi="Symbol"/>
        <w:color w:val="auto"/>
        <w:sz w:val="24"/>
      </w:rPr>
    </w:lvl>
    <w:lvl w:ilvl="2">
      <w:numFmt w:val="bullet"/>
      <w:lvlText w:val=""/>
      <w:lvlJc w:val="left"/>
      <w:pPr>
        <w:ind w:left="492" w:hanging="360"/>
      </w:pPr>
      <w:rPr>
        <w:rFonts w:ascii="Wingdings" w:hAnsi="Wingdings"/>
      </w:rPr>
    </w:lvl>
    <w:lvl w:ilvl="3">
      <w:numFmt w:val="bullet"/>
      <w:lvlText w:val=""/>
      <w:lvlJc w:val="left"/>
      <w:pPr>
        <w:ind w:left="1212" w:hanging="360"/>
      </w:pPr>
      <w:rPr>
        <w:rFonts w:ascii="Symbol" w:hAnsi="Symbol"/>
      </w:rPr>
    </w:lvl>
    <w:lvl w:ilvl="4">
      <w:numFmt w:val="bullet"/>
      <w:lvlText w:val="o"/>
      <w:lvlJc w:val="left"/>
      <w:pPr>
        <w:ind w:left="1932" w:hanging="360"/>
      </w:pPr>
      <w:rPr>
        <w:rFonts w:ascii="Courier New" w:hAnsi="Courier New" w:cs="Courier New"/>
      </w:rPr>
    </w:lvl>
    <w:lvl w:ilvl="5">
      <w:numFmt w:val="bullet"/>
      <w:lvlText w:val=""/>
      <w:lvlJc w:val="left"/>
      <w:pPr>
        <w:ind w:left="2652" w:hanging="360"/>
      </w:pPr>
      <w:rPr>
        <w:rFonts w:ascii="Wingdings" w:hAnsi="Wingdings"/>
      </w:rPr>
    </w:lvl>
    <w:lvl w:ilvl="6">
      <w:numFmt w:val="bullet"/>
      <w:lvlText w:val=""/>
      <w:lvlJc w:val="left"/>
      <w:pPr>
        <w:ind w:left="3372" w:hanging="360"/>
      </w:pPr>
      <w:rPr>
        <w:rFonts w:ascii="Symbol" w:hAnsi="Symbol"/>
      </w:rPr>
    </w:lvl>
    <w:lvl w:ilvl="7">
      <w:numFmt w:val="bullet"/>
      <w:lvlText w:val="o"/>
      <w:lvlJc w:val="left"/>
      <w:pPr>
        <w:ind w:left="4092" w:hanging="360"/>
      </w:pPr>
      <w:rPr>
        <w:rFonts w:ascii="Courier New" w:hAnsi="Courier New" w:cs="Courier New"/>
      </w:rPr>
    </w:lvl>
    <w:lvl w:ilvl="8">
      <w:numFmt w:val="bullet"/>
      <w:lvlText w:val=""/>
      <w:lvlJc w:val="left"/>
      <w:pPr>
        <w:ind w:left="4812" w:hanging="360"/>
      </w:pPr>
      <w:rPr>
        <w:rFonts w:ascii="Wingdings" w:hAnsi="Wingdings"/>
      </w:rPr>
    </w:lvl>
  </w:abstractNum>
  <w:abstractNum w:abstractNumId="1" w15:restartNumberingAfterBreak="0">
    <w:nsid w:val="17F13DA6"/>
    <w:multiLevelType w:val="hybridMultilevel"/>
    <w:tmpl w:val="788646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A3817C2"/>
    <w:multiLevelType w:val="hybridMultilevel"/>
    <w:tmpl w:val="E17A8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167253"/>
    <w:multiLevelType w:val="hybridMultilevel"/>
    <w:tmpl w:val="9A68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16103B6"/>
    <w:multiLevelType w:val="hybridMultilevel"/>
    <w:tmpl w:val="B47C8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3E90FD9"/>
    <w:multiLevelType w:val="hybridMultilevel"/>
    <w:tmpl w:val="3A7E4F4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34509FF"/>
    <w:multiLevelType w:val="hybridMultilevel"/>
    <w:tmpl w:val="3A80890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2D77689"/>
    <w:multiLevelType w:val="hybridMultilevel"/>
    <w:tmpl w:val="54A47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7"/>
  </w:num>
  <w:num w:numId="4">
    <w:abstractNumId w:val="8"/>
  </w:num>
  <w:num w:numId="5">
    <w:abstractNumId w:val="0"/>
  </w:num>
  <w:num w:numId="6">
    <w:abstractNumId w:val="10"/>
  </w:num>
  <w:num w:numId="7">
    <w:abstractNumId w:val="15"/>
  </w:num>
  <w:num w:numId="8">
    <w:abstractNumId w:val="20"/>
  </w:num>
  <w:num w:numId="9">
    <w:abstractNumId w:val="17"/>
  </w:num>
  <w:num w:numId="10">
    <w:abstractNumId w:val="16"/>
  </w:num>
  <w:num w:numId="11">
    <w:abstractNumId w:val="5"/>
  </w:num>
  <w:num w:numId="12">
    <w:abstractNumId w:val="18"/>
  </w:num>
  <w:num w:numId="13">
    <w:abstractNumId w:val="13"/>
  </w:num>
  <w:num w:numId="14">
    <w:abstractNumId w:val="11"/>
  </w:num>
  <w:num w:numId="15">
    <w:abstractNumId w:val="14"/>
  </w:num>
  <w:num w:numId="16">
    <w:abstractNumId w:val="1"/>
  </w:num>
  <w:num w:numId="17">
    <w:abstractNumId w:val="9"/>
  </w:num>
  <w:num w:numId="18">
    <w:abstractNumId w:val="19"/>
  </w:num>
  <w:num w:numId="19">
    <w:abstractNumId w:val="4"/>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560E"/>
    <w:rsid w:val="000466C2"/>
    <w:rsid w:val="00055BD1"/>
    <w:rsid w:val="00062161"/>
    <w:rsid w:val="00064EFA"/>
    <w:rsid w:val="00066B73"/>
    <w:rsid w:val="00087789"/>
    <w:rsid w:val="000A6B29"/>
    <w:rsid w:val="000C1465"/>
    <w:rsid w:val="000D53CB"/>
    <w:rsid w:val="000E0AC7"/>
    <w:rsid w:val="000E633D"/>
    <w:rsid w:val="0010090F"/>
    <w:rsid w:val="001132D4"/>
    <w:rsid w:val="00120AB1"/>
    <w:rsid w:val="001262DF"/>
    <w:rsid w:val="00130F5F"/>
    <w:rsid w:val="0013138D"/>
    <w:rsid w:val="00141296"/>
    <w:rsid w:val="00142A1D"/>
    <w:rsid w:val="00174B1C"/>
    <w:rsid w:val="00197F25"/>
    <w:rsid w:val="001A311E"/>
    <w:rsid w:val="001A6098"/>
    <w:rsid w:val="001D708A"/>
    <w:rsid w:val="001F0E1F"/>
    <w:rsid w:val="00240E47"/>
    <w:rsid w:val="00250799"/>
    <w:rsid w:val="00251D68"/>
    <w:rsid w:val="00256B7F"/>
    <w:rsid w:val="0026010F"/>
    <w:rsid w:val="0027761E"/>
    <w:rsid w:val="00294838"/>
    <w:rsid w:val="002A5940"/>
    <w:rsid w:val="002C685B"/>
    <w:rsid w:val="00357F3A"/>
    <w:rsid w:val="003647C4"/>
    <w:rsid w:val="00364D46"/>
    <w:rsid w:val="00387926"/>
    <w:rsid w:val="003A31DA"/>
    <w:rsid w:val="003A4A67"/>
    <w:rsid w:val="003C5B7E"/>
    <w:rsid w:val="003F0824"/>
    <w:rsid w:val="003F24CC"/>
    <w:rsid w:val="004044AA"/>
    <w:rsid w:val="004201D7"/>
    <w:rsid w:val="00421486"/>
    <w:rsid w:val="00425D71"/>
    <w:rsid w:val="00431FB2"/>
    <w:rsid w:val="00437B5E"/>
    <w:rsid w:val="004A31CB"/>
    <w:rsid w:val="004A4E4E"/>
    <w:rsid w:val="004B243D"/>
    <w:rsid w:val="004C283F"/>
    <w:rsid w:val="004C4594"/>
    <w:rsid w:val="004D1F45"/>
    <w:rsid w:val="004D207C"/>
    <w:rsid w:val="004E06BB"/>
    <w:rsid w:val="004E5867"/>
    <w:rsid w:val="004E77D9"/>
    <w:rsid w:val="004F64CD"/>
    <w:rsid w:val="005405B6"/>
    <w:rsid w:val="00543717"/>
    <w:rsid w:val="00546BA6"/>
    <w:rsid w:val="00574663"/>
    <w:rsid w:val="00587592"/>
    <w:rsid w:val="00597054"/>
    <w:rsid w:val="005E5409"/>
    <w:rsid w:val="005F340C"/>
    <w:rsid w:val="0060255B"/>
    <w:rsid w:val="006170E7"/>
    <w:rsid w:val="00647211"/>
    <w:rsid w:val="00671F6E"/>
    <w:rsid w:val="00673ED2"/>
    <w:rsid w:val="00675123"/>
    <w:rsid w:val="006928EE"/>
    <w:rsid w:val="006A2DDB"/>
    <w:rsid w:val="006B0C17"/>
    <w:rsid w:val="006C7032"/>
    <w:rsid w:val="006E7FB1"/>
    <w:rsid w:val="007040CB"/>
    <w:rsid w:val="007146D1"/>
    <w:rsid w:val="00731476"/>
    <w:rsid w:val="00741B9E"/>
    <w:rsid w:val="0075294C"/>
    <w:rsid w:val="007B1213"/>
    <w:rsid w:val="007B2B8D"/>
    <w:rsid w:val="007B32F3"/>
    <w:rsid w:val="007B5363"/>
    <w:rsid w:val="007C016D"/>
    <w:rsid w:val="007C1E97"/>
    <w:rsid w:val="007C2F04"/>
    <w:rsid w:val="007D0D1D"/>
    <w:rsid w:val="007D3D56"/>
    <w:rsid w:val="007E40D5"/>
    <w:rsid w:val="008053E3"/>
    <w:rsid w:val="00821646"/>
    <w:rsid w:val="00837C49"/>
    <w:rsid w:val="008629C4"/>
    <w:rsid w:val="00863227"/>
    <w:rsid w:val="008701F3"/>
    <w:rsid w:val="008839E1"/>
    <w:rsid w:val="00886758"/>
    <w:rsid w:val="008968F6"/>
    <w:rsid w:val="008A39F8"/>
    <w:rsid w:val="008A6178"/>
    <w:rsid w:val="008D4013"/>
    <w:rsid w:val="00914124"/>
    <w:rsid w:val="00937E9E"/>
    <w:rsid w:val="00954A7A"/>
    <w:rsid w:val="0095639B"/>
    <w:rsid w:val="00982B29"/>
    <w:rsid w:val="00986B00"/>
    <w:rsid w:val="009B1BB1"/>
    <w:rsid w:val="009D3A4D"/>
    <w:rsid w:val="009D71E8"/>
    <w:rsid w:val="00A05A45"/>
    <w:rsid w:val="00A06684"/>
    <w:rsid w:val="00A255F6"/>
    <w:rsid w:val="00A441C1"/>
    <w:rsid w:val="00A478B3"/>
    <w:rsid w:val="00A8123D"/>
    <w:rsid w:val="00A87DE4"/>
    <w:rsid w:val="00AA364E"/>
    <w:rsid w:val="00AB10C0"/>
    <w:rsid w:val="00AB2696"/>
    <w:rsid w:val="00AB4340"/>
    <w:rsid w:val="00AC2D58"/>
    <w:rsid w:val="00AD56EB"/>
    <w:rsid w:val="00AE4EA4"/>
    <w:rsid w:val="00AF22A4"/>
    <w:rsid w:val="00B315D6"/>
    <w:rsid w:val="00B42D5E"/>
    <w:rsid w:val="00B64B49"/>
    <w:rsid w:val="00B72C13"/>
    <w:rsid w:val="00B83222"/>
    <w:rsid w:val="00B83C2F"/>
    <w:rsid w:val="00B85753"/>
    <w:rsid w:val="00BA414C"/>
    <w:rsid w:val="00BB56BE"/>
    <w:rsid w:val="00BD2558"/>
    <w:rsid w:val="00BE493B"/>
    <w:rsid w:val="00C10191"/>
    <w:rsid w:val="00C24EF1"/>
    <w:rsid w:val="00C25FDA"/>
    <w:rsid w:val="00C31DDF"/>
    <w:rsid w:val="00C35A5A"/>
    <w:rsid w:val="00C43F2E"/>
    <w:rsid w:val="00C536CC"/>
    <w:rsid w:val="00C61F20"/>
    <w:rsid w:val="00C6685F"/>
    <w:rsid w:val="00C761C0"/>
    <w:rsid w:val="00C77E9F"/>
    <w:rsid w:val="00CA23D1"/>
    <w:rsid w:val="00CA7E3A"/>
    <w:rsid w:val="00CD4DFF"/>
    <w:rsid w:val="00CF1A3C"/>
    <w:rsid w:val="00D06424"/>
    <w:rsid w:val="00D120C0"/>
    <w:rsid w:val="00D13449"/>
    <w:rsid w:val="00D33FE5"/>
    <w:rsid w:val="00D36C21"/>
    <w:rsid w:val="00D44942"/>
    <w:rsid w:val="00D45B9E"/>
    <w:rsid w:val="00D54DF7"/>
    <w:rsid w:val="00D56AAF"/>
    <w:rsid w:val="00D8184E"/>
    <w:rsid w:val="00D91FA5"/>
    <w:rsid w:val="00D93753"/>
    <w:rsid w:val="00D95D1F"/>
    <w:rsid w:val="00D960AD"/>
    <w:rsid w:val="00DB2774"/>
    <w:rsid w:val="00DB5B5C"/>
    <w:rsid w:val="00DC6158"/>
    <w:rsid w:val="00DD7D97"/>
    <w:rsid w:val="00DE13DA"/>
    <w:rsid w:val="00DE27C4"/>
    <w:rsid w:val="00DE464E"/>
    <w:rsid w:val="00DF174E"/>
    <w:rsid w:val="00DF3565"/>
    <w:rsid w:val="00E003C8"/>
    <w:rsid w:val="00E00FC8"/>
    <w:rsid w:val="00E426EF"/>
    <w:rsid w:val="00E43DDA"/>
    <w:rsid w:val="00E56BAC"/>
    <w:rsid w:val="00E574F7"/>
    <w:rsid w:val="00E66558"/>
    <w:rsid w:val="00E72918"/>
    <w:rsid w:val="00E83E35"/>
    <w:rsid w:val="00E87D05"/>
    <w:rsid w:val="00EB519B"/>
    <w:rsid w:val="00EB69AB"/>
    <w:rsid w:val="00EC0B4C"/>
    <w:rsid w:val="00F256F8"/>
    <w:rsid w:val="00F31FDA"/>
    <w:rsid w:val="00F520C6"/>
    <w:rsid w:val="00F62400"/>
    <w:rsid w:val="00F826FB"/>
    <w:rsid w:val="00F9255F"/>
    <w:rsid w:val="00F96A91"/>
    <w:rsid w:val="00FB4D9D"/>
    <w:rsid w:val="00FC5FCB"/>
    <w:rsid w:val="00FF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56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Maths/KS2_KS3_Maths_Guidance_2017.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97806/Maths_guidance_KS_1_and_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Salima Ducker</cp:lastModifiedBy>
  <cp:revision>2</cp:revision>
  <cp:lastPrinted>2021-11-12T12:38:00Z</cp:lastPrinted>
  <dcterms:created xsi:type="dcterms:W3CDTF">2021-11-19T17:13:00Z</dcterms:created>
  <dcterms:modified xsi:type="dcterms:W3CDTF">2021-11-19T17:13:00Z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